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902744d819d48d9" /></Relationships>
</file>

<file path=word/document.xml><?xml version="1.0" encoding="utf-8"?>
<w:document xmlns:w="http://schemas.openxmlformats.org/wordprocessingml/2006/main">
  <w:body>
    <w:p>
      <w:r>
        <w:rPr>
          <w:b/>
        </w:rPr>
        <w:t xml:space="preserve">East Allegheny JSHS</w:t>
      </w:r>
      <w:r>
        <w:br/>
      </w:r>
      <w:r>
        <w:t xml:space="preserve">CSI School Plan | 2025 - 2026</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East Allegheny Junior/Senior High School </w:t>
            </w:r>
          </w:p>
        </w:tc>
        <w:tc>
          <w:tcPr>
            <w:vAlign w:val="center"/>
          </w:tcPr>
          <w:p>
            <w:r>
              <w:t xml:space="preserve">103022803</w:t>
            </w:r>
          </w:p>
        </w:tc>
      </w:tr>
      <w:tr>
        <w:tc>
          <w:tcPr>
            <w:gridSpan w:val="3"/>
            <w:vAlign w:val="center"/>
          </w:tcPr>
          <w:p>
            <w:r>
              <w:rPr>
                <w:b/>
              </w:rPr>
              <w:t xml:space="preserve">Address 1</w:t>
            </w:r>
          </w:p>
        </w:tc>
      </w:tr>
      <w:tr>
        <w:tc>
          <w:tcPr>
            <w:gridSpan w:val="3"/>
            <w:vAlign w:val="center"/>
          </w:tcPr>
          <w:p>
            <w:r>
              <w:t xml:space="preserve">1150 Jacks Run Road</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North Versailles</w:t>
            </w:r>
          </w:p>
        </w:tc>
        <w:tc>
          <w:tcPr>
            <w:vAlign w:val="center"/>
          </w:tcPr>
          <w:p>
            <w:r>
              <w:t xml:space="preserve">Pennsylvania</w:t>
            </w:r>
          </w:p>
        </w:tc>
        <w:tc>
          <w:tcPr>
            <w:vAlign w:val="center"/>
          </w:tcPr>
          <w:p>
            <w:r>
              <w:t xml:space="preserve">15137</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Mr. Joseph DiLucente</w:t>
            </w:r>
          </w:p>
        </w:tc>
        <w:tc>
          <w:tcPr>
            <w:vAlign w:val="center"/>
          </w:tcPr>
          <w:p>
            <w:r>
              <w:t xml:space="preserve">jdilucente@eawildcats.net</w:t>
            </w:r>
          </w:p>
        </w:tc>
      </w:tr>
      <w:tr>
        <w:tc>
          <w:tcPr>
            <w:gridSpan w:val="3"/>
            <w:vAlign w:val="center"/>
          </w:tcPr>
          <w:p>
            <w:r>
              <w:rPr>
                <w:b/>
              </w:rPr>
              <w:t xml:space="preserve">Principal Name</w:t>
            </w:r>
          </w:p>
        </w:tc>
      </w:tr>
      <w:tr>
        <w:tc>
          <w:tcPr>
            <w:gridSpan w:val="3"/>
            <w:vAlign w:val="center"/>
          </w:tcPr>
          <w:p>
            <w:r>
              <w:t xml:space="preserve">R.J. Long </w:t>
            </w:r>
          </w:p>
        </w:tc>
      </w:tr>
      <w:tr>
        <w:tc>
          <w:tcPr>
            <w:gridSpan w:val="3"/>
            <w:vAlign w:val="center"/>
          </w:tcPr>
          <w:p>
            <w:r>
              <w:rPr>
                <w:b/>
              </w:rPr>
              <w:t xml:space="preserve">Principal Email</w:t>
            </w:r>
          </w:p>
        </w:tc>
      </w:tr>
      <w:tr>
        <w:tc>
          <w:tcPr>
            <w:gridSpan w:val="3"/>
            <w:vAlign w:val="center"/>
          </w:tcPr>
          <w:p>
            <w:r>
              <w:t xml:space="preserve">rlong@eawildcats.net</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4128248012</w:t>
            </w:r>
          </w:p>
        </w:tc>
        <w:tc>
          <w:tcPr>
            <w:vAlign w:val="center"/>
          </w:tcPr>
          <w:p>
            <w:r>
              <w:t xml:space="preserve">1855</w:t>
            </w: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Dina Hartford</w:t>
            </w:r>
          </w:p>
        </w:tc>
        <w:tc>
          <w:tcPr>
            <w:vAlign w:val="center"/>
          </w:tcPr>
          <w:p>
            <w:r>
              <w:t xml:space="preserve">dina.hartford@aiu3.net</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Amanda Snyder                                                </w:t>
            </w:r>
          </w:p>
        </w:tc>
        <w:tc>
          <w:tcPr>
            <w:vAlign w:val="center"/>
          </w:tcPr>
          <w:p>
            <w:r>
              <w:t xml:space="preserve">Teacher                                                </w:t>
            </w:r>
          </w:p>
        </w:tc>
        <w:tc>
          <w:tcPr>
            <w:vAlign w:val="center"/>
          </w:tcPr>
          <w:p>
            <w:r>
              <w:t xml:space="preserve">East Allegheny JSHS                                                </w:t>
            </w:r>
          </w:p>
        </w:tc>
        <w:tc>
          <w:tcPr>
            <w:vAlign w:val="center"/>
          </w:tcPr>
          <w:p>
            <w:r>
              <w:t xml:space="preserve">asnyder@eawildcats.net                                                </w:t>
            </w:r>
          </w:p>
        </w:tc>
      </w:tr>
      <w:tr>
        <w:tc>
          <w:tcPr>
            <w:vAlign w:val="center"/>
          </w:tcPr>
          <w:p>
            <w:r>
              <w:t xml:space="preserve">Dennis Edwards                                                </w:t>
            </w:r>
          </w:p>
        </w:tc>
        <w:tc>
          <w:tcPr>
            <w:vAlign w:val="center"/>
          </w:tcPr>
          <w:p>
            <w:r>
              <w:t xml:space="preserve">Teacher                                                </w:t>
            </w:r>
          </w:p>
        </w:tc>
        <w:tc>
          <w:tcPr>
            <w:vAlign w:val="center"/>
          </w:tcPr>
          <w:p>
            <w:r>
              <w:t xml:space="preserve">East Allegheny JSHS                                                </w:t>
            </w:r>
          </w:p>
        </w:tc>
        <w:tc>
          <w:tcPr>
            <w:vAlign w:val="center"/>
          </w:tcPr>
          <w:p>
            <w:r>
              <w:t xml:space="preserve">dedwards@eawildcats.net                                                </w:t>
            </w:r>
          </w:p>
        </w:tc>
      </w:tr>
      <w:tr>
        <w:tc>
          <w:tcPr>
            <w:vAlign w:val="center"/>
          </w:tcPr>
          <w:p>
            <w:r>
              <w:t xml:space="preserve">Emilia Mattucci                                                </w:t>
            </w:r>
          </w:p>
        </w:tc>
        <w:tc>
          <w:tcPr>
            <w:vAlign w:val="center"/>
          </w:tcPr>
          <w:p>
            <w:r>
              <w:t xml:space="preserve">Other                                                </w:t>
            </w:r>
          </w:p>
        </w:tc>
        <w:tc>
          <w:tcPr>
            <w:vAlign w:val="center"/>
          </w:tcPr>
          <w:p>
            <w:r>
              <w:t xml:space="preserve">School Counselor EAJSHS                                                </w:t>
            </w:r>
          </w:p>
        </w:tc>
        <w:tc>
          <w:tcPr>
            <w:vAlign w:val="center"/>
          </w:tcPr>
          <w:p>
            <w:r>
              <w:t xml:space="preserve">epeiffer@eawildcats.net                                                </w:t>
            </w:r>
          </w:p>
        </w:tc>
      </w:tr>
      <w:tr>
        <w:tc>
          <w:tcPr>
            <w:vAlign w:val="center"/>
          </w:tcPr>
          <w:p>
            <w:r>
              <w:t xml:space="preserve">Jamie Morgan                                                </w:t>
            </w:r>
          </w:p>
        </w:tc>
        <w:tc>
          <w:tcPr>
            <w:vAlign w:val="center"/>
          </w:tcPr>
          <w:p>
            <w:r>
              <w:t xml:space="preserve">Other                                                </w:t>
            </w:r>
          </w:p>
        </w:tc>
        <w:tc>
          <w:tcPr>
            <w:vAlign w:val="center"/>
          </w:tcPr>
          <w:p>
            <w:r>
              <w:t xml:space="preserve">East Allegheny SD                                                </w:t>
            </w:r>
          </w:p>
        </w:tc>
        <w:tc>
          <w:tcPr>
            <w:vAlign w:val="center"/>
          </w:tcPr>
          <w:p>
            <w:r>
              <w:t xml:space="preserve">jmorgan@eawildcats.net                                                </w:t>
            </w:r>
          </w:p>
        </w:tc>
      </w:tr>
      <w:tr>
        <w:tc>
          <w:tcPr>
            <w:vAlign w:val="center"/>
          </w:tcPr>
          <w:p>
            <w:r>
              <w:t xml:space="preserve">Kathleen Chenot                                                </w:t>
            </w:r>
          </w:p>
        </w:tc>
        <w:tc>
          <w:tcPr>
            <w:vAlign w:val="center"/>
          </w:tcPr>
          <w:p>
            <w:r>
              <w:t xml:space="preserve">Teacher                                                </w:t>
            </w:r>
          </w:p>
        </w:tc>
        <w:tc>
          <w:tcPr>
            <w:vAlign w:val="center"/>
          </w:tcPr>
          <w:p>
            <w:r>
              <w:t xml:space="preserve">East Allegheny JSHS                                                </w:t>
            </w:r>
          </w:p>
        </w:tc>
        <w:tc>
          <w:tcPr>
            <w:vAlign w:val="center"/>
          </w:tcPr>
          <w:p>
            <w:r>
              <w:t xml:space="preserve">kchenot@eawildcats.net                                                </w:t>
            </w:r>
          </w:p>
        </w:tc>
      </w:tr>
      <w:tr>
        <w:tc>
          <w:tcPr>
            <w:vAlign w:val="center"/>
          </w:tcPr>
          <w:p>
            <w:r>
              <w:t xml:space="preserve">Mark Draskovich                                                </w:t>
            </w:r>
          </w:p>
        </w:tc>
        <w:tc>
          <w:tcPr>
            <w:vAlign w:val="center"/>
          </w:tcPr>
          <w:p>
            <w:r>
              <w:t xml:space="preserve">Principal                                                </w:t>
            </w:r>
          </w:p>
        </w:tc>
        <w:tc>
          <w:tcPr>
            <w:vAlign w:val="center"/>
          </w:tcPr>
          <w:p>
            <w:r>
              <w:t xml:space="preserve">East Allegheny JSHS                                                </w:t>
            </w:r>
          </w:p>
        </w:tc>
        <w:tc>
          <w:tcPr>
            <w:vAlign w:val="center"/>
          </w:tcPr>
          <w:p>
            <w:r>
              <w:t xml:space="preserve">mdraskovich@eawildcats.net                                                </w:t>
            </w:r>
          </w:p>
        </w:tc>
      </w:tr>
      <w:tr>
        <w:tc>
          <w:tcPr>
            <w:vAlign w:val="center"/>
          </w:tcPr>
          <w:p>
            <w:r>
              <w:t xml:space="preserve">Rick Yeager                                                </w:t>
            </w:r>
          </w:p>
        </w:tc>
        <w:tc>
          <w:tcPr>
            <w:vAlign w:val="center"/>
          </w:tcPr>
          <w:p>
            <w:r>
              <w:t xml:space="preserve">Teacher                                                </w:t>
            </w:r>
          </w:p>
        </w:tc>
        <w:tc>
          <w:tcPr>
            <w:vAlign w:val="center"/>
          </w:tcPr>
          <w:p>
            <w:r>
              <w:t xml:space="preserve">Learning Support EAJSHS                                                </w:t>
            </w:r>
          </w:p>
        </w:tc>
        <w:tc>
          <w:tcPr>
            <w:vAlign w:val="center"/>
          </w:tcPr>
          <w:p>
            <w:r>
              <w:t xml:space="preserve">ryeager@eawildcats.net                                                </w:t>
            </w:r>
          </w:p>
        </w:tc>
      </w:tr>
      <w:tr>
        <w:tc>
          <w:tcPr>
            <w:vAlign w:val="center"/>
          </w:tcPr>
          <w:p>
            <w:r>
              <w:t xml:space="preserve">Joseph Dilucente                                                </w:t>
            </w:r>
          </w:p>
        </w:tc>
        <w:tc>
          <w:tcPr>
            <w:vAlign w:val="center"/>
          </w:tcPr>
          <w:p>
            <w:r>
              <w:t xml:space="preserve">Chief School Administrator                                                </w:t>
            </w:r>
          </w:p>
        </w:tc>
        <w:tc>
          <w:tcPr>
            <w:vAlign w:val="center"/>
          </w:tcPr>
          <w:p>
            <w:r>
              <w:t xml:space="preserve">East Allegheny SD                                                </w:t>
            </w:r>
          </w:p>
        </w:tc>
        <w:tc>
          <w:tcPr>
            <w:vAlign w:val="center"/>
          </w:tcPr>
          <w:p>
            <w:r>
              <w:t xml:space="preserve">jdilucente@eawildcats.net                                                </w:t>
            </w:r>
          </w:p>
        </w:tc>
      </w:tr>
      <w:tr>
        <w:tc>
          <w:tcPr>
            <w:vAlign w:val="center"/>
          </w:tcPr>
          <w:p>
            <w:r>
              <w:t xml:space="preserve">Jennifer Costello                                                </w:t>
            </w:r>
          </w:p>
        </w:tc>
        <w:tc>
          <w:tcPr>
            <w:vAlign w:val="center"/>
          </w:tcPr>
          <w:p>
            <w:r>
              <w:t xml:space="preserve">District Level Leaders                                                </w:t>
            </w:r>
          </w:p>
        </w:tc>
        <w:tc>
          <w:tcPr>
            <w:vAlign w:val="center"/>
          </w:tcPr>
          <w:p>
            <w:r>
              <w:t xml:space="preserve">East Allegheny SD                                                </w:t>
            </w:r>
          </w:p>
        </w:tc>
        <w:tc>
          <w:tcPr>
            <w:vAlign w:val="center"/>
          </w:tcPr>
          <w:p>
            <w:r>
              <w:t xml:space="preserve">jcostello@eawildcats.net                                                </w:t>
            </w:r>
          </w:p>
        </w:tc>
      </w:tr>
      <w:tr>
        <w:tc>
          <w:tcPr>
            <w:vAlign w:val="center"/>
          </w:tcPr>
          <w:p>
            <w:r>
              <w:t xml:space="preserve">R.J. Long                                                </w:t>
            </w:r>
          </w:p>
        </w:tc>
        <w:tc>
          <w:tcPr>
            <w:vAlign w:val="center"/>
          </w:tcPr>
          <w:p>
            <w:r>
              <w:t xml:space="preserve">Principal                                                </w:t>
            </w:r>
          </w:p>
        </w:tc>
        <w:tc>
          <w:tcPr>
            <w:vAlign w:val="center"/>
          </w:tcPr>
          <w:p>
            <w:r>
              <w:t xml:space="preserve">East Allegheny JSHS                                                </w:t>
            </w:r>
          </w:p>
        </w:tc>
        <w:tc>
          <w:tcPr>
            <w:vAlign w:val="center"/>
          </w:tcPr>
          <w:p>
            <w:r>
              <w:t xml:space="preserve">rlong@eawildcats.net                                                </w:t>
            </w:r>
          </w:p>
        </w:tc>
      </w:tr>
      <w:tr>
        <w:tc>
          <w:tcPr>
            <w:vAlign w:val="center"/>
          </w:tcPr>
          <w:p>
            <w:r>
              <w:t xml:space="preserve">Kristen Keleschenyi                                                </w:t>
            </w:r>
          </w:p>
        </w:tc>
        <w:tc>
          <w:tcPr>
            <w:vAlign w:val="center"/>
          </w:tcPr>
          <w:p>
            <w:r>
              <w:t xml:space="preserve">Parent                                                </w:t>
            </w:r>
          </w:p>
        </w:tc>
        <w:tc>
          <w:tcPr>
            <w:vAlign w:val="center"/>
          </w:tcPr>
          <w:p>
            <w:r>
              <w:t xml:space="preserve">East Allegheny SD                                                </w:t>
            </w:r>
          </w:p>
        </w:tc>
        <w:tc>
          <w:tcPr>
            <w:vAlign w:val="center"/>
          </w:tcPr>
          <w:p>
            <w:r>
              <w:t xml:space="preserve">kbishop25@hotmail.com                                                </w:t>
            </w:r>
          </w:p>
        </w:tc>
      </w:tr>
      <w:tr>
        <w:tc>
          <w:tcPr>
            <w:vAlign w:val="center"/>
          </w:tcPr>
          <w:p>
            <w:r>
              <w:t xml:space="preserve">Nolan Keleschenyi                                                </w:t>
            </w:r>
          </w:p>
        </w:tc>
        <w:tc>
          <w:tcPr>
            <w:vAlign w:val="center"/>
          </w:tcPr>
          <w:p>
            <w:r>
              <w:t xml:space="preserve">Student                                                </w:t>
            </w:r>
          </w:p>
        </w:tc>
        <w:tc>
          <w:tcPr>
            <w:vAlign w:val="center"/>
          </w:tcPr>
          <w:p>
            <w:r>
              <w:t xml:space="preserve">East Allegheny JSHS                                                </w:t>
            </w:r>
          </w:p>
        </w:tc>
        <w:tc>
          <w:tcPr>
            <w:vAlign w:val="center"/>
          </w:tcPr>
          <w:p>
            <w:r>
              <w:t xml:space="preserve">nkeleschenyi29@eawildcats.net                                                </w:t>
            </w:r>
          </w:p>
        </w:tc>
      </w:tr>
      <w:tr>
        <w:tc>
          <w:tcPr>
            <w:vAlign w:val="center"/>
          </w:tcPr>
          <w:p>
            <w:r>
              <w:t xml:space="preserve">Christie Paradine                                                </w:t>
            </w:r>
          </w:p>
        </w:tc>
        <w:tc>
          <w:tcPr>
            <w:vAlign w:val="center"/>
          </w:tcPr>
          <w:p>
            <w:r>
              <w:t xml:space="preserve">District Level Leaders                                                </w:t>
            </w:r>
          </w:p>
        </w:tc>
        <w:tc>
          <w:tcPr>
            <w:vAlign w:val="center"/>
          </w:tcPr>
          <w:p>
            <w:r>
              <w:t xml:space="preserve">EASD School Psychologist                                                </w:t>
            </w:r>
          </w:p>
        </w:tc>
        <w:tc>
          <w:tcPr>
            <w:vAlign w:val="center"/>
          </w:tcPr>
          <w:p>
            <w:r>
              <w:t xml:space="preserve">cparadine@eawildcats.net                                                </w:t>
            </w:r>
          </w:p>
        </w:tc>
      </w:tr>
      <w:tr>
        <w:tc>
          <w:tcPr>
            <w:vAlign w:val="center"/>
          </w:tcPr>
          <w:p>
            <w:r>
              <w:t xml:space="preserve">Antoinette Lucas                                                </w:t>
            </w:r>
          </w:p>
        </w:tc>
        <w:tc>
          <w:tcPr>
            <w:vAlign w:val="center"/>
          </w:tcPr>
          <w:p>
            <w:r>
              <w:t xml:space="preserve">Community Member                                                </w:t>
            </w:r>
          </w:p>
        </w:tc>
        <w:tc>
          <w:tcPr>
            <w:vAlign w:val="center"/>
          </w:tcPr>
          <w:p>
            <w:r>
              <w:t xml:space="preserve">East Allegheny SD                                                </w:t>
            </w:r>
          </w:p>
        </w:tc>
        <w:tc>
          <w:tcPr>
            <w:vAlign w:val="center"/>
          </w:tcPr>
          <w:p>
            <w:r>
              <w:t xml:space="preserve">amlucas04@gmail.com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The East Allegheny School District, in partnerships with families and the community, responsibly engages, inspires and prepares each student for individual success, citizenship and life in the 21st century.</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False </w:t>
            </w:r>
            <w:r>
              <w:t xml:space="preserve">K</w:t>
            </w:r>
          </w:p>
        </w:tc>
        <w:tc>
          <w:tcPr>
            <w:vAlign w:val="center"/>
          </w:tcPr>
          <w:p>
            <w:r>
              <w:rPr>
                <w:b/>
              </w:rPr>
              <w:t xml:space="preserve">False </w:t>
            </w:r>
            <w:r>
              <w:t xml:space="preserve">1</w:t>
            </w:r>
          </w:p>
        </w:tc>
        <w:tc>
          <w:tcPr>
            <w:vAlign w:val="center"/>
          </w:tcPr>
          <w:p>
            <w:r>
              <w:rPr>
                <w:b/>
              </w:rPr>
              <w:t xml:space="preserve">False </w:t>
            </w:r>
            <w:r>
              <w:t xml:space="preserve">2</w:t>
            </w:r>
          </w:p>
        </w:tc>
        <w:tc>
          <w:tcPr>
            <w:vAlign w:val="center"/>
          </w:tcPr>
          <w:p>
            <w:r>
              <w:rPr>
                <w:b/>
              </w:rPr>
              <w:t xml:space="preserve">False </w:t>
            </w:r>
            <w:r>
              <w:t xml:space="preserve">3</w:t>
            </w:r>
          </w:p>
        </w:tc>
        <w:tc>
          <w:tcPr>
            <w:vAlign w:val="center"/>
          </w:tcPr>
          <w:p>
            <w:r>
              <w:rPr>
                <w:b/>
              </w:rPr>
              <w:t xml:space="preserve">False </w:t>
            </w:r>
            <w:r>
              <w:t xml:space="preserve">4</w:t>
            </w:r>
          </w:p>
        </w:tc>
        <w:tc>
          <w:tcPr>
            <w:vAlign w:val="center"/>
          </w:tcPr>
          <w:p>
            <w:r>
              <w:rPr>
                <w:b/>
              </w:rPr>
              <w:t xml:space="preserve">False </w:t>
            </w:r>
            <w:r>
              <w:t xml:space="preserve">5</w:t>
            </w:r>
          </w:p>
        </w:tc>
        <w:tc>
          <w:tcPr>
            <w:vAlign w:val="center"/>
          </w:tcPr>
          <w:p>
            <w:r>
              <w:rPr>
                <w:b/>
              </w:rPr>
              <w:t xml:space="preserve">False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True </w:t>
            </w:r>
            <w:r>
              <w:t xml:space="preserve">9</w:t>
            </w:r>
          </w:p>
        </w:tc>
        <w:tc>
          <w:tcPr>
            <w:vAlign w:val="center"/>
          </w:tcPr>
          <w:p>
            <w:r>
              <w:rPr>
                <w:b/>
              </w:rPr>
              <w:t xml:space="preserve">True </w:t>
            </w:r>
            <w:r>
              <w:t xml:space="preserve">10</w:t>
            </w:r>
          </w:p>
        </w:tc>
        <w:tc>
          <w:tcPr>
            <w:vAlign w:val="center"/>
          </w:tcPr>
          <w:p>
            <w:r>
              <w:rPr>
                <w:b/>
              </w:rPr>
              <w:t xml:space="preserve">True </w:t>
            </w:r>
            <w:r>
              <w:t xml:space="preserve">11</w:t>
            </w:r>
          </w:p>
        </w:tc>
        <w:tc>
          <w:tcPr>
            <w:vAlign w:val="center"/>
          </w:tcPr>
          <w:p>
            <w:r>
              <w:rPr>
                <w:b/>
              </w:rPr>
              <w:t xml:space="preserve">True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PVAAS:  Meeting Statewide Growth Standard in English Language Arts/Literature</w:t>
            </w:r>
          </w:p>
        </w:tc>
        <w:tc>
          <w:tcPr>
            <w:vAlign w:val="center"/>
          </w:tcPr>
          <w:p>
            <w:r>
              <w:t xml:space="preserve">While the all student group did not meet the standard demonstrating growth in ELA./Literature, three subgroups exceeded the Meeting Statewide Growth Standard, which was set at 70.0.  Black students: 71.3.  Students of 2 or More Races: 78.5.  Students with Disabilities: 70.3.
</w:t>
            </w:r>
          </w:p>
        </w:tc>
      </w:tr>
      <w:tr>
        <w:tc>
          <w:tcPr>
            <w:vAlign w:val="center"/>
          </w:tcPr>
          <w:p>
            <w:r>
              <w:t xml:space="preserve">PVAAS:  Meeting Statewide Growth Standard in Mathematics/Algebra</w:t>
            </w:r>
          </w:p>
        </w:tc>
        <w:tc>
          <w:tcPr>
            <w:vAlign w:val="center"/>
          </w:tcPr>
          <w:p>
            <w:r>
              <w:t xml:space="preserve">While the all student group did not meet the standard demonstrating growth in Mathematics/Algebra, one subgroup exceeded the Meeting Statewide Growth Standard, which was set at 70.0.  Students with Disabilities: 73.7.
</w:t>
            </w:r>
          </w:p>
        </w:tc>
      </w:tr>
      <w:tr>
        <w:tc>
          <w:tcPr>
            <w:vAlign w:val="center"/>
          </w:tcPr>
          <w:p>
            <w:r>
              <w:t xml:space="preserve">PVAAS:  Meeting Statewide Growth Standard in Science/Biology</w:t>
            </w:r>
          </w:p>
        </w:tc>
        <w:tc>
          <w:tcPr>
            <w:vAlign w:val="center"/>
          </w:tcPr>
          <w:p>
            <w:r>
              <w:t xml:space="preserve">While the all student group did not meet the standard demonstrating growth in Science/Biology, One subgroup exceeded the Meeting Statewide Growth Standard, which was set at 70.0.  Students with Disabilities: 70.5.
</w:t>
            </w:r>
          </w:p>
        </w:tc>
      </w:tr>
      <w:tr>
        <w:tc>
          <w:tcPr>
            <w:vAlign w:val="center"/>
          </w:tcPr>
          <w:p>
            <w:r>
              <w:t xml:space="preserve">College and Career Measures:  Career Standards Benchmark</w:t>
            </w:r>
          </w:p>
        </w:tc>
        <w:tc>
          <w:tcPr>
            <w:vAlign w:val="center"/>
          </w:tcPr>
          <w:p>
            <w:r>
              <w:t xml:space="preserve">Exceeding the state average and statewide 2033 goal of 98% based on the Career Standards Benchmarks. East Allegheny's All Student Group achieved a 99.5%.</w:t>
            </w:r>
          </w:p>
        </w:tc>
      </w:tr>
      <w:tr>
        <w:tc>
          <w:tcPr>
            <w:vAlign w:val="center"/>
          </w:tcPr>
          <w:p>
            <w:r>
              <w:t xml:space="preserve">High School Graduation Rate</w:t>
            </w:r>
          </w:p>
        </w:tc>
        <w:tc>
          <w:tcPr>
            <w:vAlign w:val="center"/>
          </w:tcPr>
          <w:p>
            <w:r>
              <w:t xml:space="preserve">Four-Year Cohort Graduation Rate increased to 87% in 2022-2023, which meets the Percent Graduation Four-Year Cohort  and Statewide Average of 87%.</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English Language Arts/Literature</w:t>
            </w:r>
          </w:p>
        </w:tc>
        <w:tc>
          <w:tcPr>
            <w:vAlign w:val="center"/>
          </w:tcPr>
          <w:p>
            <w:r>
              <w:t xml:space="preserve">Current student achievement is below state average and well below the 2033 statewide goal, with the all
students group scoring proficient or advanced at a rate of 35.6% in ELA/Literature. Structures, practices, and protocols for using
data to identify evidence-based strategies and differentiate instruction to address individual student’s academic needs must be developed and implemented consistently.</w:t>
            </w:r>
          </w:p>
        </w:tc>
      </w:tr>
      <w:tr>
        <w:tc>
          <w:tcPr>
            <w:vAlign w:val="center"/>
          </w:tcPr>
          <w:p>
            <w:r>
              <w:t xml:space="preserve">Mathematics/Algebra</w:t>
            </w:r>
          </w:p>
        </w:tc>
        <w:tc>
          <w:tcPr>
            <w:vAlign w:val="center"/>
          </w:tcPr>
          <w:p>
            <w:r>
              <w:t xml:space="preserve">Current student achievement is below state average and well below the 2033 statewide goal, with the all
students group scoring proficient or advanced at a rate of 8.9% in Mathematics/Algebra. Structures, practices, and protocols for using
data to identify evidence-based strategies and differentiate instruction to address individual student’s academic needs must be developed and implemented consistently.</w:t>
            </w:r>
          </w:p>
        </w:tc>
      </w:tr>
      <w:tr>
        <w:tc>
          <w:tcPr>
            <w:vAlign w:val="center"/>
          </w:tcPr>
          <w:p>
            <w:r>
              <w:t xml:space="preserve">Science/Biology</w:t>
            </w:r>
          </w:p>
        </w:tc>
        <w:tc>
          <w:tcPr>
            <w:vAlign w:val="center"/>
          </w:tcPr>
          <w:p>
            <w:r>
              <w:t xml:space="preserve">Current student achievement is below state average and well below the 2033 statewide goal, with the all
students group scoring proficient or advanced at a rate of 25.4% in Science/Biology. Structures, practices, and protocols for using
data to identify evidence-based strategies and differentiate instruction to address individual student’s academic needs must be developed and implemented consistently.</w:t>
            </w:r>
          </w:p>
        </w:tc>
      </w:tr>
      <w:tr>
        <w:tc>
          <w:tcPr>
            <w:vAlign w:val="center"/>
          </w:tcPr>
          <w:p>
            <w:r>
              <w:t xml:space="preserve">Attendance</w:t>
            </w:r>
          </w:p>
        </w:tc>
        <w:tc>
          <w:tcPr>
            <w:vAlign w:val="center"/>
          </w:tcPr>
          <w:p>
            <w:r>
              <w:t xml:space="preserve">Current student attendance is below state average and well below the 2033 statewide goal, with the all student group regular attendance of 42.4%.</w:t>
            </w:r>
          </w:p>
        </w:tc>
      </w:tr>
      <w:tr>
        <w:tc>
          <w:tcPr>
            <w:vAlign w:val="center"/>
          </w:tcPr>
          <w:p>
            <w:r>
              <w:t xml:space="preserve">Industry-Based Learning</w:t>
            </w:r>
          </w:p>
        </w:tc>
        <w:tc>
          <w:tcPr>
            <w:vAlign w:val="center"/>
          </w:tcPr>
          <w:p>
            <w:r>
              <w:t xml:space="preserve">Students are well below the state-wide average on industry-based learning at 17.8% compared to the statewide average of 32.8%.</w:t>
            </w:r>
          </w:p>
        </w:tc>
      </w:tr>
      <w:tr>
        <w:tc>
          <w:tcPr>
            <w:vAlign w:val="center"/>
          </w:tcPr>
          <w:p>
            <w:r>
              <w:t xml:space="preserve">Rigorous Courses of Study</w:t>
            </w:r>
          </w:p>
        </w:tc>
        <w:tc>
          <w:tcPr>
            <w:vAlign w:val="center"/>
          </w:tcPr>
          <w:p>
            <w:r>
              <w:t xml:space="preserve">34.7% of East Allegheny students were enrolled in Rigorous Courses of Study, which is well below the state average of 54.9%.   Only 1% of students were enrolled in a college course, 11.9% enrolled in CTE programs, and 23.8% enrolled in AP courses.</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PVAAS:  Meeting Statewide Growth Standard in English Language Arts/Literature</w:t>
            </w:r>
          </w:p>
          <w:p>
            <w:r>
              <w:rPr>
                <w:b/>
              </w:rPr>
              <w:t xml:space="preserve">ESSA Student Subgroups</w:t>
            </w:r>
          </w:p>
          <w:p>
            <w:r>
              <w:t xml:space="preserve">African-American/Black, Multi-Racial (not Hispanic), Students with Disabilities</w:t>
            </w:r>
          </w:p>
        </w:tc>
        <w:tc>
          <w:tcPr>
            <w:vAlign w:val="center"/>
          </w:tcPr>
          <w:p>
            <w:r>
              <w:rPr>
                <w:b/>
              </w:rPr>
              <w:t xml:space="preserve">Comments/Notable Observations</w:t>
            </w:r>
          </w:p>
          <w:p>
            <w:r>
              <w:t xml:space="preserve">Three subgroups exceeded the Meeting Statewide Growth Standard in ELA, which was set at 70.0.  Black students: 71.3.  Students of 2 or More Races: 78.5.  Students with Disabilities: 70.3.</w:t>
            </w:r>
          </w:p>
        </w:tc>
      </w:tr>
      <w:tr>
        <w:tc>
          <w:tcPr>
            <w:vAlign w:val="center"/>
          </w:tcPr>
          <w:p>
            <w:r>
              <w:rPr>
                <w:b/>
              </w:rPr>
              <w:t xml:space="preserve">Indicator</w:t>
            </w:r>
          </w:p>
          <w:p>
            <w:r>
              <w:t xml:space="preserve">PVAAS:  Meeting Statewide Growth Standard in Mathematics/Algebra</w:t>
            </w:r>
          </w:p>
          <w:p>
            <w:r>
              <w:rPr>
                <w:b/>
              </w:rPr>
              <w:t xml:space="preserve">ESSA Student Subgroups</w:t>
            </w:r>
          </w:p>
          <w:p>
            <w:r>
              <w:t xml:space="preserve">Students with Disabilities</w:t>
            </w:r>
          </w:p>
        </w:tc>
        <w:tc>
          <w:tcPr>
            <w:vAlign w:val="center"/>
          </w:tcPr>
          <w:p>
            <w:r>
              <w:rPr>
                <w:b/>
              </w:rPr>
              <w:t xml:space="preserve">Comments/Notable Observations</w:t>
            </w:r>
          </w:p>
          <w:p>
            <w:r>
              <w:t xml:space="preserve">One subgroup exceeded the Meeting Statewide Growth Standard in Mathematics, which was set at 70.0.  Students with Disabilities: 73.7.</w:t>
            </w:r>
          </w:p>
        </w:tc>
      </w:tr>
      <w:tr>
        <w:tc>
          <w:tcPr>
            <w:vAlign w:val="center"/>
          </w:tcPr>
          <w:p>
            <w:r>
              <w:rPr>
                <w:b/>
              </w:rPr>
              <w:t xml:space="preserve">Indicator</w:t>
            </w:r>
          </w:p>
          <w:p>
            <w:r>
              <w:t xml:space="preserve">PVAAS:  Meeting Statewide Growth Standard in Science/Biology</w:t>
            </w:r>
          </w:p>
          <w:p>
            <w:r>
              <w:rPr>
                <w:b/>
              </w:rPr>
              <w:t xml:space="preserve">ESSA Student Subgroups</w:t>
            </w:r>
          </w:p>
          <w:p>
            <w:r>
              <w:t xml:space="preserve">Students with Disabilities</w:t>
            </w:r>
          </w:p>
        </w:tc>
        <w:tc>
          <w:tcPr>
            <w:vAlign w:val="center"/>
          </w:tcPr>
          <w:p>
            <w:r>
              <w:rPr>
                <w:b/>
              </w:rPr>
              <w:t xml:space="preserve">Comments/Notable Observations</w:t>
            </w:r>
          </w:p>
          <w:p>
            <w:r>
              <w:t xml:space="preserve">One subgroup exceeded the Meeting Statewide Growth Standard in Science, which was set at 70.0.  Students with Disabilities: 70.5.</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t xml:space="preserve">College and Career Measures:  Career Standards Benchmark</w:t>
            </w:r>
          </w:p>
          <w:p>
            <w:r>
              <w:rPr>
                <w:b/>
              </w:rPr>
              <w:t xml:space="preserve">ESSA Student Subgroups</w:t>
            </w:r>
          </w:p>
          <w:p>
            <w:r>
              <w:t xml:space="preserve">African-American/Black, White, Economically Disadvantaged, Students with Disabilities</w:t>
            </w:r>
          </w:p>
        </w:tc>
        <w:tc>
          <w:tcPr>
            <w:vAlign w:val="center"/>
          </w:tcPr>
          <w:p>
            <w:r>
              <w:rPr>
                <w:b/>
              </w:rPr>
              <w:t xml:space="preserve">Comments/Notable Observations</w:t>
            </w:r>
          </w:p>
          <w:p>
            <w:r>
              <w:t xml:space="preserve">Exceeding the state average and statewide 2033 goal of 98% based on the Career Standards Benchmarks. East Allegheny's All Student Group achieved a 99.5%.  Black students:  100%.  White students:  99.1%.  Economically Disadvantaged: 99.2%.  Students with Disabilities:  98.1%.</w:t>
            </w:r>
          </w:p>
        </w:tc>
      </w:tr>
      <w:tr>
        <w:tc>
          <w:tcPr>
            <w:vAlign w:val="center"/>
          </w:tcPr>
          <w:p>
            <w:r>
              <w:rPr>
                <w:b/>
              </w:rPr>
              <w:t xml:space="preserve">Indicator</w:t>
            </w:r>
          </w:p>
          <w:p>
            <w:r>
              <w:t xml:space="preserve">High School Graduation Rate</w:t>
            </w:r>
          </w:p>
          <w:p>
            <w:r>
              <w:rPr>
                <w:b/>
              </w:rPr>
              <w:t xml:space="preserve">ESSA Student Subgroups</w:t>
            </w:r>
          </w:p>
          <w:p>
            <w:r>
              <w:t xml:space="preserve">African-American/Black, White, Economically Disadvantaged, Students with Disabilities</w:t>
            </w:r>
          </w:p>
        </w:tc>
        <w:tc>
          <w:tcPr>
            <w:vAlign w:val="center"/>
          </w:tcPr>
          <w:p>
            <w:r>
              <w:rPr>
                <w:b/>
              </w:rPr>
              <w:t xml:space="preserve">Comments/Notable Observations</w:t>
            </w:r>
          </w:p>
          <w:p>
            <w:r>
              <w:t xml:space="preserve">Four-Year Cohort Graduation Rate increased to 87% in 2022-2023, which meets the Percent Graduation Four-Year Cohort  and Statewide Average of 87%.  White students increased to 86.4%, Economically Disadvantaged increased to 85.9%, Students with Disabilities met the growth standard at 77.1%, and Black students met the growth standard at 82.4%.</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Achievement in English Language Arts/Literature</w:t>
            </w:r>
          </w:p>
          <w:p>
            <w:r>
              <w:rPr>
                <w:b/>
              </w:rPr>
              <w:t xml:space="preserve">ESSA Student Subgroups</w:t>
            </w:r>
          </w:p>
        </w:tc>
        <w:tc>
          <w:tcPr>
            <w:vAlign w:val="center"/>
          </w:tcPr>
          <w:p>
            <w:r>
              <w:rPr>
                <w:b/>
              </w:rPr>
              <w:t xml:space="preserve">Comments/Notable Observations</w:t>
            </w:r>
          </w:p>
          <w:p>
            <w:r>
              <w:t xml:space="preserve">Current student achievement is below state average and well below the 2033 statewide goal in ELA, with the all
students group scoring proficient or advanced at a rate of 35.6%. Structures, practices, and protocols for using data to identify evidence-based strategies and differentiate instruction to address individual student’s academic needs must be developed and implemented consistently.  Black, White, and Students with Disabilities all decreased in scores.  Students of 2 or more races were still were well below the standard, but did demonstrate positive growth.</w:t>
            </w:r>
          </w:p>
        </w:tc>
      </w:tr>
      <w:tr>
        <w:tc>
          <w:tcPr>
            <w:vAlign w:val="center"/>
          </w:tcPr>
          <w:p>
            <w:r>
              <w:rPr>
                <w:b/>
              </w:rPr>
              <w:t xml:space="preserve">Indicator</w:t>
            </w:r>
          </w:p>
          <w:p>
            <w:r>
              <w:t xml:space="preserve">Achievement in Mathematics/Algebra</w:t>
            </w:r>
          </w:p>
          <w:p>
            <w:r>
              <w:rPr>
                <w:b/>
              </w:rPr>
              <w:t xml:space="preserve">ESSA Student Subgroups</w:t>
            </w:r>
          </w:p>
        </w:tc>
        <w:tc>
          <w:tcPr>
            <w:vAlign w:val="center"/>
          </w:tcPr>
          <w:p>
            <w:r>
              <w:rPr>
                <w:b/>
              </w:rPr>
              <w:t xml:space="preserve">Comments/Notable Observations</w:t>
            </w:r>
          </w:p>
          <w:p>
            <w:r>
              <w:t xml:space="preserve">Current student achievement is below state average and well below the 2033 statewide goal in Math, with the all
students group scoring proficient or advanced at a rate of 8.9%. Structures, practices, and protocols for using data to identify evidence-based strategies and differentiate instruction to address individual student’s academic needs must be developed and implemented consistently. Black Students and Students with Disabilities all decreased in scores. White and Economically disadvantaged students were well below the standard, but demonstrated positive growth.</w:t>
            </w:r>
          </w:p>
        </w:tc>
      </w:tr>
      <w:tr>
        <w:tc>
          <w:tcPr>
            <w:vAlign w:val="center"/>
          </w:tcPr>
          <w:p>
            <w:r>
              <w:rPr>
                <w:b/>
              </w:rPr>
              <w:t xml:space="preserve">Indicator</w:t>
            </w:r>
          </w:p>
          <w:p>
            <w:r>
              <w:t xml:space="preserve">Achievement in Science/Biology</w:t>
            </w:r>
          </w:p>
          <w:p>
            <w:r>
              <w:rPr>
                <w:b/>
              </w:rPr>
              <w:t xml:space="preserve">ESSA Student Subgroups</w:t>
            </w:r>
          </w:p>
          <w:p>
            <w:r>
              <w:t xml:space="preserve">African-American/Black, White, Economically Disadvantaged, Students with Disabilities</w:t>
            </w:r>
          </w:p>
        </w:tc>
        <w:tc>
          <w:tcPr>
            <w:vAlign w:val="center"/>
          </w:tcPr>
          <w:p>
            <w:r>
              <w:rPr>
                <w:b/>
              </w:rPr>
              <w:t xml:space="preserve">Comments/Notable Observations</w:t>
            </w:r>
          </w:p>
          <w:p>
            <w:r>
              <w:t xml:space="preserve">Current student achievement is below state average and well below the 2033 statewide goal in science, with the all
students group scoring proficient or advanced at a rate of 25.4%. Structures, practices, and protocols for using data to identify evidence-based strategies and differentiate instruction to address individual student’s academic needs must be developed and implemented consistently. Black, White, Economically Disadvantaged, and Students with Disabilities all decreased in scores.</w:t>
            </w:r>
          </w:p>
        </w:tc>
      </w:tr>
      <w:tr>
        <w:tc>
          <w:tcPr>
            <w:vAlign w:val="center"/>
          </w:tcPr>
          <w:p>
            <w:r>
              <w:rPr>
                <w:b/>
              </w:rPr>
              <w:t xml:space="preserve">Indicator</w:t>
            </w:r>
          </w:p>
          <w:p>
            <w:r>
              <w:t xml:space="preserve">Attendance</w:t>
            </w:r>
          </w:p>
          <w:p>
            <w:r>
              <w:rPr>
                <w:b/>
              </w:rPr>
              <w:t xml:space="preserve">ESSA Student Subgroups</w:t>
            </w:r>
          </w:p>
        </w:tc>
        <w:tc>
          <w:tcPr>
            <w:vAlign w:val="center"/>
          </w:tcPr>
          <w:p>
            <w:r>
              <w:rPr>
                <w:b/>
              </w:rPr>
              <w:t xml:space="preserve">Comments/Notable Observations</w:t>
            </w:r>
          </w:p>
          <w:p>
            <w:r>
              <w:t xml:space="preserve">Current student attendance is below state average and well below the 2033 statewide goal, with the all
students group scoring attendance being 42.4%.  Attendance rates for all subgroups (White, Hispanic, 2 or More Races, Economically Disadvantaged, and Students with Disabilities) went down. Attendance rate for Black students was still below the state average, but increased.</w:t>
            </w:r>
          </w:p>
        </w:tc>
      </w:tr>
      <w:tr>
        <w:tc>
          <w:tcPr>
            <w:vAlign w:val="center"/>
          </w:tcPr>
          <w:p>
            <w:r>
              <w:rPr>
                <w:b/>
              </w:rPr>
              <w:t xml:space="preserve">Indicator</w:t>
            </w:r>
          </w:p>
          <w:p>
            <w:r>
              <w:t xml:space="preserve">Industry-Based Learning</w:t>
            </w:r>
          </w:p>
          <w:p>
            <w:r>
              <w:rPr>
                <w:b/>
              </w:rPr>
              <w:t xml:space="preserve">ESSA Student Subgroups</w:t>
            </w:r>
          </w:p>
          <w:p>
            <w:r>
              <w:t xml:space="preserve">African-American/Black, White, Economically Disadvantaged, Students with Disabilities</w:t>
            </w:r>
          </w:p>
        </w:tc>
        <w:tc>
          <w:tcPr>
            <w:vAlign w:val="center"/>
          </w:tcPr>
          <w:p>
            <w:r>
              <w:rPr>
                <w:b/>
              </w:rPr>
              <w:t xml:space="preserve">Comments/Notable Observations</w:t>
            </w:r>
          </w:p>
          <w:p>
            <w:r>
              <w:t xml:space="preserve">Students are well below the state-wide average on industry-based learning at 17.8% compared to the statewide average of 32.8%.  White, Black, Economically Disadvantaged, and Students with Disabilities were all in green but trending downward.</w:t>
            </w:r>
          </w:p>
        </w:tc>
      </w:tr>
      <w:tr>
        <w:tc>
          <w:tcPr>
            <w:vAlign w:val="center"/>
          </w:tcPr>
          <w:p>
            <w:r>
              <w:rPr>
                <w:b/>
              </w:rPr>
              <w:t xml:space="preserve">Indicator</w:t>
            </w:r>
          </w:p>
          <w:p>
            <w:r>
              <w:t xml:space="preserve">Rigorous Courses of Study</w:t>
            </w:r>
          </w:p>
          <w:p>
            <w:r>
              <w:rPr>
                <w:b/>
              </w:rPr>
              <w:t xml:space="preserve">ESSA Student Subgroups</w:t>
            </w:r>
          </w:p>
          <w:p>
            <w:r>
              <w:t xml:space="preserve">African-American/Black, White, Economically Disadvantaged, Students with Disabilities</w:t>
            </w:r>
          </w:p>
        </w:tc>
        <w:tc>
          <w:tcPr>
            <w:vAlign w:val="center"/>
          </w:tcPr>
          <w:p>
            <w:r>
              <w:rPr>
                <w:b/>
              </w:rPr>
              <w:t xml:space="preserve">Comments/Notable Observations</w:t>
            </w:r>
          </w:p>
          <w:p>
            <w:r>
              <w:t xml:space="preserve">34.7% of East Allegheny students were enrolled in Rigorous Courses of Study, which is well below the state average of 54.9%.   Only 1% of students were enrolled in a college course, 11.9% enrolled in CTE programs, and 23.8% enrolled in AP courses.  23.8% of Black Students, 38.7% of White Students, 26.5% of Economically Disadvantaged Students, and 20% of Students with Disabilities were enrolled in rigorous courses.</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PVAAS:  Students with Disabilities are Meeting Statewide Growth Standard in English Language Arts/Literature, Mathematics/Algebra, and Science/Biology.</w:t>
            </w:r>
          </w:p>
        </w:tc>
      </w:tr>
      <w:tr>
        <w:tc>
          <w:tcPr>
            <w:vAlign w:val="center"/>
          </w:tcPr>
          <w:p>
            <w:r>
              <w:t xml:space="preserve">High School Graduation Rate</w:t>
            </w:r>
          </w:p>
        </w:tc>
      </w:tr>
      <w:tr>
        <w:tc>
          <w:tcPr>
            <w:vAlign w:val="center"/>
          </w:tcPr>
          <w:p>
            <w:r>
              <w:t xml:space="preserve">College and Career Measures:  Career Standards Benchmark</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Achievement in ELA, Math, and Science for Black, White, 2 or more Races, and Economically Disadvantaged Students.</w:t>
            </w:r>
          </w:p>
        </w:tc>
      </w:tr>
      <w:tr>
        <w:tc>
          <w:tcPr>
            <w:vAlign w:val="center"/>
          </w:tcPr>
          <w:p>
            <w:r>
              <w:t xml:space="preserve">Attendance for all student subgroups.</w:t>
            </w:r>
          </w:p>
        </w:tc>
      </w:tr>
      <w:tr>
        <w:tc>
          <w:tcPr>
            <w:vAlign w:val="center"/>
          </w:tcPr>
          <w:p>
            <w:r>
              <w:t xml:space="preserve">Industry-Based Learning for all student subgroups.</w:t>
            </w:r>
          </w:p>
        </w:tc>
      </w:tr>
      <w:tr>
        <w:tc>
          <w:tcPr>
            <w:vAlign w:val="center"/>
          </w:tcPr>
          <w:p>
            <w:r>
              <w:t xml:space="preserve">Rigorous Courses of Student for all student subgroups.</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Achievement Report Grade 7</w:t>
            </w:r>
          </w:p>
        </w:tc>
        <w:tc>
          <w:tcPr>
            <w:vAlign w:val="center"/>
          </w:tcPr>
          <w:p>
            <w:r>
              <w:t xml:space="preserve">7th Graders scored in the 32nd Percentile compared to other same-grade U.S. student Scores</w:t>
            </w:r>
          </w:p>
        </w:tc>
      </w:tr>
      <w:tr>
        <w:tc>
          <w:tcPr>
            <w:vAlign w:val="center"/>
          </w:tcPr>
          <w:p>
            <w:r>
              <w:t xml:space="preserve">NWEA MAP Achievement Report Grade 8</w:t>
            </w:r>
          </w:p>
        </w:tc>
        <w:tc>
          <w:tcPr>
            <w:vAlign w:val="center"/>
          </w:tcPr>
          <w:p>
            <w:r>
              <w:t xml:space="preserve">8th Graders scored in the 35th Percentile compared to other same-grade U.S. student Scores</w:t>
            </w:r>
          </w:p>
        </w:tc>
      </w:tr>
      <w:tr>
        <w:tc>
          <w:tcPr>
            <w:vAlign w:val="center"/>
          </w:tcPr>
          <w:p>
            <w:r>
              <w:t xml:space="preserve">NWEA MAP Achievement Report Grade 9</w:t>
            </w:r>
          </w:p>
        </w:tc>
        <w:tc>
          <w:tcPr>
            <w:vAlign w:val="center"/>
          </w:tcPr>
          <w:p>
            <w:r>
              <w:t xml:space="preserve">9th Graders scored in the 35th Percentile compared to other same-grade U.S. student Scores</w:t>
            </w:r>
          </w:p>
        </w:tc>
      </w:tr>
      <w:tr>
        <w:tc>
          <w:tcPr>
            <w:vAlign w:val="center"/>
          </w:tcPr>
          <w:p>
            <w:r>
              <w:t xml:space="preserve">NWEA MAP Achievement Report Grade 10</w:t>
            </w:r>
          </w:p>
        </w:tc>
        <w:tc>
          <w:tcPr>
            <w:vAlign w:val="center"/>
          </w:tcPr>
          <w:p>
            <w:r>
              <w:t xml:space="preserve">10th Graders scored in the 37th Percentile compared to other same-grade U.S. student Scores</w:t>
            </w:r>
          </w:p>
        </w:tc>
      </w:tr>
      <w:tr>
        <w:tc>
          <w:tcPr>
            <w:vAlign w:val="center"/>
          </w:tcPr>
          <w:p>
            <w:r>
              <w:t xml:space="preserve">NWEA MAP Achievement Report Grade 11</w:t>
            </w:r>
          </w:p>
        </w:tc>
        <w:tc>
          <w:tcPr>
            <w:vAlign w:val="center"/>
          </w:tcPr>
          <w:p>
            <w:r>
              <w:t xml:space="preserve">11th Graders scored in the 34th Percentile compared to other same-grade U.S. student Scores</w:t>
            </w:r>
          </w:p>
        </w:tc>
      </w:tr>
      <w:tr>
        <w:tc>
          <w:tcPr>
            <w:vAlign w:val="center"/>
          </w:tcPr>
          <w:p>
            <w:r>
              <w:t xml:space="preserve">NWEA MAP Achievement Report Grade 12</w:t>
            </w:r>
          </w:p>
        </w:tc>
        <w:tc>
          <w:tcPr>
            <w:vAlign w:val="center"/>
          </w:tcPr>
          <w:p>
            <w:r>
              <w:t xml:space="preserve">12th Graders scored in the 37th Percentile compared to other same-grade U.S. student Scores</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25% of our students are consistently in the 60th - 100th percentile in Grades 7-12.</w:t>
            </w:r>
          </w:p>
        </w:tc>
      </w:tr>
      <w:tr>
        <w:tc>
          <w:tcPr>
            <w:vAlign w:val="center"/>
          </w:tcPr>
          <w:p>
            <w:r>
              <w:t xml:space="preserve">There is a 5% increase from Grade 7 (32nd Percentile) to Grade 12 (37th Percentile).</w:t>
            </w:r>
          </w:p>
        </w:tc>
      </w:tr>
    </w:tbl>
    <w:p>
      <w:pPr>
        <w:pStyle w:val="Heading3"/>
      </w:pPr>
      <w:r>
        <w:t xml:space="preserve">Challenges</w:t>
      </w:r>
    </w:p>
    <w:tbl>
      <w:tblPr>
        <w:tblStyle w:val="TableGrid"/>
        <w:tblW w:w="5000" w:type="pct"/>
      </w:tblPr>
      <w:tblGrid>
        <w:gridCol/>
      </w:tblGrid>
      <w:tr>
        <w:tc>
          <w:tcPr>
            <w:vAlign w:val="center"/>
          </w:tcPr>
          <w:p>
            <w:r>
              <w:t xml:space="preserve">75% of our students are below the 60th percentile in Grades 7 - 12 in ELA.</w:t>
            </w:r>
          </w:p>
        </w:tc>
      </w:tr>
      <w:tr>
        <w:tc>
          <w:tcPr>
            <w:vAlign w:val="center"/>
          </w:tcPr>
          <w:p>
            <w:r>
              <w:t xml:space="preserve">30-35% of our students are in need of urgent Tier 3 interventions in ELA.</w:t>
            </w:r>
          </w:p>
        </w:tc>
      </w:tr>
      <w:tr>
        <w:tc>
          <w:tcPr>
            <w:vAlign w:val="center"/>
          </w:tcPr>
          <w:p>
            <w:r>
              <w:t xml:space="preserve">30% of our students are in need of Tier 2 interventions in ELA.</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NWEA MAP Achievement Report Grade 10</w:t>
            </w:r>
          </w:p>
        </w:tc>
        <w:tc>
          <w:tcPr>
            <w:vAlign w:val="center"/>
          </w:tcPr>
          <w:p>
            <w:r>
              <w:t xml:space="preserve">10th Graders scored in the 23rd Percentile compared to other same-grade U.S. student Scores</w:t>
            </w:r>
          </w:p>
        </w:tc>
      </w:tr>
      <w:tr>
        <w:tc>
          <w:tcPr>
            <w:vAlign w:val="center"/>
          </w:tcPr>
          <w:p>
            <w:r>
              <w:t xml:space="preserve">NWEA MAP Achievement Report Grade 11</w:t>
            </w:r>
          </w:p>
        </w:tc>
        <w:tc>
          <w:tcPr>
            <w:vAlign w:val="center"/>
          </w:tcPr>
          <w:p>
            <w:r>
              <w:t xml:space="preserve">11th Graders scored in the 32nd Percentile compared to other same-grade U.S. student Scores</w:t>
            </w:r>
          </w:p>
        </w:tc>
      </w:tr>
      <w:tr>
        <w:tc>
          <w:tcPr>
            <w:vAlign w:val="center"/>
          </w:tcPr>
          <w:p>
            <w:r>
              <w:t xml:space="preserve">NWEA MAP Achievement Report Grade 12</w:t>
            </w:r>
          </w:p>
        </w:tc>
        <w:tc>
          <w:tcPr>
            <w:vAlign w:val="center"/>
          </w:tcPr>
          <w:p>
            <w:r>
              <w:t xml:space="preserve">12th Graders scored in the 33rd Percentile compared to other same-grade U.S. student Scores</w:t>
            </w:r>
          </w:p>
        </w:tc>
      </w:tr>
      <w:tr>
        <w:tc>
          <w:tcPr>
            <w:vAlign w:val="center"/>
          </w:tcPr>
          <w:p>
            <w:r>
              <w:t xml:space="preserve">NWEA MAP Achievement Report Grade 9</w:t>
            </w:r>
          </w:p>
        </w:tc>
        <w:tc>
          <w:tcPr>
            <w:vAlign w:val="center"/>
          </w:tcPr>
          <w:p>
            <w:r>
              <w:t xml:space="preserve">9th Graders scored in the 22nd Percentile compared to other same-grade U.S. student Scores</w:t>
            </w:r>
          </w:p>
        </w:tc>
      </w:tr>
      <w:tr>
        <w:tc>
          <w:tcPr>
            <w:vAlign w:val="center"/>
          </w:tcPr>
          <w:p>
            <w:r>
              <w:t xml:space="preserve">NWEA MAP Achievement Report Grade 7</w:t>
            </w:r>
          </w:p>
        </w:tc>
        <w:tc>
          <w:tcPr>
            <w:vAlign w:val="center"/>
          </w:tcPr>
          <w:p>
            <w:r>
              <w:t xml:space="preserve">7th Graders scored in the 33rd Percentile compared to other same-grade U.S. student Scores</w:t>
            </w:r>
          </w:p>
        </w:tc>
      </w:tr>
      <w:tr>
        <w:tc>
          <w:tcPr>
            <w:vAlign w:val="center"/>
          </w:tcPr>
          <w:p>
            <w:r>
              <w:t xml:space="preserve">NWEA MAP Achievement Report Grade 8</w:t>
            </w:r>
          </w:p>
        </w:tc>
        <w:tc>
          <w:tcPr>
            <w:vAlign w:val="center"/>
          </w:tcPr>
          <w:p>
            <w:r>
              <w:t xml:space="preserve">8th Graders scored in the 17th Percentile compared to other same-grade U.S. student Scores</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20% of our students are consistently in the 60th - 100th percentile in Grades 7-12.</w:t>
            </w:r>
          </w:p>
        </w:tc>
      </w:tr>
      <w:tr>
        <w:tc>
          <w:tcPr>
            <w:vAlign w:val="center"/>
          </w:tcPr>
          <w:p>
            <w:r>
              <w:t xml:space="preserve">Grades 7, 11 and 12 scored in the 32nd or 33rd percentile compared to same-grade U.S. student scores.</w:t>
            </w:r>
          </w:p>
        </w:tc>
      </w:tr>
    </w:tbl>
    <w:p>
      <w:pPr>
        <w:pStyle w:val="Heading3"/>
      </w:pPr>
      <w:r>
        <w:t xml:space="preserve">Challenges</w:t>
      </w:r>
    </w:p>
    <w:tbl>
      <w:tblPr>
        <w:tblStyle w:val="TableGrid"/>
        <w:tblW w:w="5000" w:type="pct"/>
      </w:tblPr>
      <w:tblGrid>
        <w:gridCol/>
      </w:tblGrid>
      <w:tr>
        <w:tc>
          <w:tcPr>
            <w:vAlign w:val="center"/>
          </w:tcPr>
          <w:p>
            <w:r>
              <w:t xml:space="preserve">20-25% of our students are in need of Tier 2 interventions in Math.</w:t>
            </w:r>
          </w:p>
        </w:tc>
      </w:tr>
      <w:tr>
        <w:tc>
          <w:tcPr>
            <w:vAlign w:val="center"/>
          </w:tcPr>
          <w:p>
            <w:r>
              <w:t xml:space="preserve">35-50% of our students are in need of urgent Tier 3 interventions in Math.</w:t>
            </w:r>
          </w:p>
        </w:tc>
      </w:tr>
      <w:tr>
        <w:tc>
          <w:tcPr>
            <w:vAlign w:val="center"/>
          </w:tcPr>
          <w:p>
            <w:r>
              <w:t xml:space="preserve">80% of our students are below the 60th percentile in Grades 7 - 12 in Math.</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Grade 9 Biology CDT</w:t>
            </w:r>
          </w:p>
        </w:tc>
        <w:tc>
          <w:tcPr>
            <w:vAlign w:val="center"/>
          </w:tcPr>
          <w:p>
            <w:r>
              <w:t xml:space="preserve">22% of students were Green, and 78% of students were Red.</w:t>
            </w:r>
          </w:p>
        </w:tc>
      </w:tr>
      <w:tr>
        <w:tc>
          <w:tcPr>
            <w:vAlign w:val="center"/>
          </w:tcPr>
          <w:p>
            <w:r>
              <w:t xml:space="preserve">Grade 10 Biology CDT</w:t>
            </w:r>
          </w:p>
        </w:tc>
        <w:tc>
          <w:tcPr>
            <w:vAlign w:val="center"/>
          </w:tcPr>
          <w:p>
            <w:r>
              <w:t xml:space="preserve">2% of students were Green, and 98% of students were Red.</w:t>
            </w:r>
          </w:p>
        </w:tc>
      </w:tr>
      <w:tr>
        <w:tc>
          <w:tcPr>
            <w:vAlign w:val="center"/>
          </w:tcPr>
          <w:p>
            <w:r>
              <w:t xml:space="preserve">Grade 11 Biology CDT</w:t>
            </w:r>
          </w:p>
        </w:tc>
        <w:tc>
          <w:tcPr>
            <w:vAlign w:val="center"/>
          </w:tcPr>
          <w:p>
            <w:r>
              <w:t xml:space="preserve">0% students were Green, 100% of students were Red.</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tc>
      </w:tr>
      <w:tr>
        <w:tc>
          <w:tcPr>
            <w:vAlign w:val="center"/>
          </w:tcPr>
          <w:p/>
        </w:tc>
      </w:tr>
      <w:tr>
        <w:tc>
          <w:tcPr>
            <w:vAlign w:val="center"/>
          </w:tcPr>
          <w:p>
            <w:r>
              <w:t xml:space="preserve">Grade 9 Biology CDT had highest percentage of students in Green range, 22%.</w:t>
            </w:r>
          </w:p>
        </w:tc>
      </w:tr>
      <w:tr>
        <w:tc>
          <w:tcPr>
            <w:vAlign w:val="center"/>
          </w:tcPr>
          <w:p>
            <w:r>
              <w:t xml:space="preserve">Alignment of the science curriculum to the new STEEL Standards should address gaps and/or needs in the instructional program to better address the content and skills assessed on the CDT and Biology Keystone Exam.</w:t>
            </w:r>
          </w:p>
        </w:tc>
      </w:tr>
    </w:tbl>
    <w:p>
      <w:pPr>
        <w:pStyle w:val="Heading3"/>
      </w:pPr>
      <w:r>
        <w:t xml:space="preserve">Challenges</w:t>
      </w:r>
    </w:p>
    <w:tbl>
      <w:tblPr>
        <w:tblStyle w:val="TableGrid"/>
        <w:tblW w:w="5000" w:type="pct"/>
      </w:tblPr>
      <w:tblGrid>
        <w:gridCol/>
      </w:tblGrid>
      <w:tr>
        <w:tc>
          <w:tcPr>
            <w:vAlign w:val="center"/>
          </w:tcPr>
          <w:p>
            <w:r>
              <w:t xml:space="preserve">Only 8% of students are slated for proficiency on the Biology CDT Exams.</w:t>
            </w:r>
          </w:p>
        </w:tc>
      </w:tr>
      <w:tr>
        <w:tc>
          <w:tcPr>
            <w:vAlign w:val="center"/>
          </w:tcPr>
          <w:p>
            <w:r>
              <w:t xml:space="preserve">Students continuing to underperform in Biology.</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Smart Futures</w:t>
            </w:r>
          </w:p>
        </w:tc>
        <w:tc>
          <w:tcPr>
            <w:vAlign w:val="center"/>
          </w:tcPr>
          <w:p>
            <w:r>
              <w:t xml:space="preserve">99.5% of our students achieved their Act 339 plan needs.</w:t>
            </w:r>
          </w:p>
        </w:tc>
      </w:tr>
      <w:tr>
        <w:tc>
          <w:tcPr>
            <w:vAlign w:val="center"/>
          </w:tcPr>
          <w:p>
            <w:r>
              <w:t xml:space="preserve">College and Career Measures</w:t>
            </w:r>
          </w:p>
        </w:tc>
        <w:tc>
          <w:tcPr>
            <w:vAlign w:val="center"/>
          </w:tcPr>
          <w:p>
            <w:r>
              <w:t xml:space="preserve">Exceeding state average and statewide 2033 goal based upon Career Standards Benchmarks.</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All student groups completed their Career Ready benchmark using Smart Futures.</w:t>
            </w:r>
          </w:p>
        </w:tc>
      </w:tr>
      <w:tr>
        <w:tc>
          <w:tcPr>
            <w:vAlign w:val="center"/>
          </w:tcPr>
          <w:p>
            <w:r>
              <w:t xml:space="preserve">Exceeding state average and statewide 2030 goal based upon Career Standards Benchmarks.</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34.7% of students in Grades 9-12 are enrolled in Rigorous Courses of Study, compared to the state average of 54.9%.  We must increase the course offerings and enrollment of students in these courses.</w:t>
            </w:r>
          </w:p>
        </w:tc>
      </w:tr>
      <w:tr>
        <w:tc>
          <w:tcPr>
            <w:vAlign w:val="center"/>
          </w:tcPr>
          <w:p>
            <w:r>
              <w:t xml:space="preserve">17.8% of students in Grades 9-12 are engage in Industry-Based Learning, compared to the state average of 32.8%.  We must increase the opportunities for students to engage in these types of Industry-Based Learning experiences.</w:t>
            </w:r>
          </w:p>
        </w:tc>
      </w:tr>
      <w:tr>
        <w:tc>
          <w:tcPr>
            <w:vAlign w:val="center"/>
          </w:tcPr>
          <w:p>
            <w:r>
              <w:t xml:space="preserve">Attendance for all student subgroups (Black, White, 2 or More Races, Economically Disadvantaged, Students with Disabilities)</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True</w:t>
      </w:r>
      <w:r>
        <w:t xml:space="preserve"> This student group is not a focus in this plan.</w:t>
      </w:r>
    </w:p>
    <w:p>
      <w:r>
        <w:br/>
      </w:r>
    </w:p>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MAPS data in ELA and Math</w:t>
            </w:r>
          </w:p>
        </w:tc>
        <w:tc>
          <w:tcPr>
            <w:vAlign w:val="center"/>
          </w:tcPr>
          <w:p>
            <w:r>
              <w:t xml:space="preserve">85% of students are in need of intervention</w:t>
            </w:r>
          </w:p>
        </w:tc>
      </w:tr>
      <w:tr>
        <w:tc>
          <w:tcPr>
            <w:vAlign w:val="center"/>
          </w:tcPr>
          <w:p/>
        </w:tc>
        <w:tc>
          <w:tcPr>
            <w:vAlign w:val="center"/>
          </w:tcPr>
          <w:p/>
        </w:tc>
      </w:tr>
      <w:tr>
        <w:tc>
          <w:tcPr>
            <w:vAlign w:val="center"/>
          </w:tcPr>
          <w:p/>
        </w:tc>
        <w:tc>
          <w:tcPr>
            <w:vAlign w:val="center"/>
          </w:tcP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Black                                                    </w:t>
            </w:r>
          </w:p>
        </w:tc>
        <w:tc>
          <w:tcPr>
            <w:vAlign w:val="center"/>
          </w:tcPr>
          <w:p>
            <w:r>
              <w:t xml:space="preserve">Black students are in the 16th percentile for Math, and in the 35th percentile for reading.</w:t>
            </w:r>
          </w:p>
        </w:tc>
      </w:tr>
      <w:tr>
        <w:tc>
          <w:tcPr>
            <w:vAlign w:val="center"/>
          </w:tcPr>
          <w:p/>
        </w:tc>
        <w:tc>
          <w:tcPr>
            <w:vAlign w:val="center"/>
          </w:tcP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Students with disabilities have been meeting the growth standard in ELA, Math, and Science.</w:t>
            </w:r>
          </w:p>
        </w:tc>
      </w:tr>
      <w:tr>
        <w:tc>
          <w:tcPr>
            <w:tcW w:w="5000" w:type="pct"/>
            <w:vAlign w:val="center"/>
          </w:tcPr>
          <w:p>
            <w:r>
              <w:t xml:space="preserve">The graduation rate has reached 87% and the 2022-2023 school year.</w:t>
            </w: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Attendance continues to be a barrier for all of our student subgroups.</w:t>
            </w:r>
          </w:p>
        </w:tc>
      </w:tr>
      <w:tr>
        <w:tc>
          <w:tcPr>
            <w:tcW w:w="5000" w:type="pct"/>
            <w:vAlign w:val="center"/>
          </w:tcPr>
          <w:p>
            <w:r>
              <w:t xml:space="preserve">Significant gaps in mathematics skills and reading abilities continues to negatively impact students of all subgroups.</w:t>
            </w:r>
          </w:p>
        </w:tc>
      </w:tr>
      <w:tr>
        <w:tc>
          <w:tcPr>
            <w:tcW w:w="5000" w:type="pct"/>
            <w:vAlign w:val="center"/>
          </w:tcPr>
          <w:p>
            <w:r>
              <w:t xml:space="preserve">Lack of MTSS structure and appropriate interventions to address skill gaps and deficits effectively.</w:t>
            </w:r>
          </w:p>
        </w:tc>
      </w:tr>
      <w:tr>
        <w:tc>
          <w:tcPr>
            <w:tcW w:w="5000" w:type="pct"/>
            <w:vAlign w:val="center"/>
          </w:tcPr>
          <w:p>
            <w:r>
              <w:t xml:space="preserve">Lack of internship, apprenticeship, and industry-based experiences for students on a career track.</w:t>
            </w:r>
          </w:p>
        </w:tc>
      </w:tr>
      <w:tr>
        <w:tc>
          <w:tcPr>
            <w:tcW w:w="5000" w:type="pct"/>
            <w:vAlign w:val="center"/>
          </w:tcP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Emerging</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Emerging</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Emerging</w:t>
            </w:r>
          </w:p>
        </w:tc>
      </w:tr>
      <w:tr>
        <w:tc>
          <w:tcPr>
            <w:tcW w:w="4000" w:type="pct"/>
            <w:vAlign w:val="center"/>
          </w:tcPr>
          <w:p>
            <w:r>
              <w:t xml:space="preserve">Identify and address individual student learning needs</w:t>
            </w:r>
          </w:p>
        </w:tc>
        <w:tc>
          <w:tcPr>
            <w:vAlign w:val="center"/>
          </w:tcPr>
          <w:p>
            <w:r>
              <w:t xml:space="preserve">Emerging</w:t>
            </w:r>
          </w:p>
        </w:tc>
      </w:tr>
      <w:tr>
        <w:tc>
          <w:tcPr>
            <w:tcW w:w="4000" w:type="pct"/>
            <w:vAlign w:val="center"/>
          </w:tcPr>
          <w:p>
            <w:r>
              <w:t xml:space="preserve">Provide frequent, timely, and systematic feedback and support on instructional practices</w:t>
            </w:r>
          </w:p>
        </w:tc>
        <w:tc>
          <w:tcPr>
            <w:vAlign w:val="center"/>
          </w:tcPr>
          <w:p>
            <w:r>
              <w:t xml:space="preserve">Emerging</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Emerging</w:t>
            </w:r>
          </w:p>
        </w:tc>
      </w:tr>
      <w:tr>
        <w:tc>
          <w:tcPr>
            <w:tcW w:w="4000" w:type="pct"/>
            <w:vAlign w:val="center"/>
          </w:tcPr>
          <w:p>
            <w:r>
              <w:t xml:space="preserve">Collectively shape the vision for continuous improvement of teaching and learning</w:t>
            </w:r>
          </w:p>
        </w:tc>
        <w:tc>
          <w:tcPr>
            <w:vAlign w:val="center"/>
          </w:tcPr>
          <w:p>
            <w:r>
              <w:t xml:space="preserve">Emerging</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Emerging</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Emerging</w:t>
            </w:r>
          </w:p>
        </w:tc>
      </w:tr>
      <w:tr>
        <w:tc>
          <w:tcPr>
            <w:tcW w:w="4000" w:type="pct"/>
            <w:vAlign w:val="center"/>
          </w:tcPr>
          <w:p>
            <w:r>
              <w:t xml:space="preserve">Continuously monitor implementation of the school improvement plan and adjust as needed</w:t>
            </w:r>
          </w:p>
        </w:tc>
        <w:tc>
          <w:tcPr>
            <w:vAlign w:val="center"/>
          </w:tcPr>
          <w:p>
            <w:r>
              <w:t xml:space="preserve">Emerging</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Emerging</w:t>
            </w:r>
          </w:p>
        </w:tc>
      </w:tr>
      <w:tr>
        <w:tc>
          <w:tcPr>
            <w:tcW w:w="4000" w:type="pct"/>
            <w:vAlign w:val="center"/>
          </w:tcPr>
          <w:p>
            <w:r>
              <w:t xml:space="preserve">Use multiple professional learning designs to support the learning needs of staff</w:t>
            </w:r>
          </w:p>
        </w:tc>
        <w:tc>
          <w:tcPr>
            <w:vAlign w:val="center"/>
          </w:tcPr>
          <w:p>
            <w:r>
              <w:t xml:space="preserve">Emerging</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East Allegheny School District partners with Pittsburgh Area Community Schools (PACS), which strives to be the leader of the community school implementation throughout the Pittsburgh Region, ensuring an equitable education experience for ALL students.</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Align curricular materials and lesson plans to the PA Standards.  Use systematic, collaborative planning processes to ensure instruction is coordinated, aligned, and evidence-based.</w:t>
            </w:r>
          </w:p>
        </w:tc>
      </w:tr>
      <w:tr>
        <w:tc>
          <w:tcPr>
            <w:vAlign w:val="center"/>
          </w:tcPr>
          <w:p>
            <w:r>
              <w:t xml:space="preserve">Provide frequent, timely, and systematic feedback and support on instructional practices.</w:t>
            </w:r>
          </w:p>
        </w:tc>
      </w:tr>
      <w:tr>
        <w:tc>
          <w:tcPr>
            <w:vAlign w:val="center"/>
          </w:tcPr>
          <w:p>
            <w:r>
              <w:t xml:space="preserve">Promote and sustain a positive school environment where all members feel welcomed, supported, and safe in school: socially, emotionally, intellectually, and physically.</w:t>
            </w:r>
          </w:p>
        </w:tc>
      </w:tr>
      <w:tr>
        <w:tc>
          <w:tcPr>
            <w:vAlign w:val="center"/>
          </w:tcPr>
          <w:p>
            <w:r>
              <w:t xml:space="preserve">Identify and address individual student learning needs through a systematic MTSS Process.</w:t>
            </w:r>
          </w:p>
        </w:tc>
      </w:tr>
      <w:tr>
        <w:tc>
          <w:tcPr>
            <w:vAlign w:val="center"/>
          </w:tcPr>
          <w:p>
            <w:r>
              <w:t xml:space="preserve">Implement evidence-based strategies to engage families to support learning.</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PVAAS:  Students with Disabilities are Meeting Statewide Growth Standard in English Language Arts/Literature, Mathematics/Algebra, and Science/Biology.</w:t>
            </w:r>
          </w:p>
        </w:tc>
        <w:tc>
          <w:tcPr>
            <w:vAlign w:val="center"/>
          </w:tcPr>
          <w:p>
            <w:r>
              <w:t xml:space="preserve">True</w:t>
            </w:r>
          </w:p>
        </w:tc>
      </w:tr>
      <w:tr>
        <w:tc>
          <w:tcPr>
            <w:vAlign w:val="center"/>
          </w:tcPr>
          <w:p>
            <w:r>
              <w:t xml:space="preserve">High School Graduation Rate</w:t>
            </w:r>
          </w:p>
        </w:tc>
        <w:tc>
          <w:tcPr>
            <w:vAlign w:val="center"/>
          </w:tcPr>
          <w:p>
            <w:r>
              <w:t xml:space="preserve">True</w:t>
            </w:r>
          </w:p>
        </w:tc>
      </w:tr>
      <w:tr>
        <w:tc>
          <w:tcPr>
            <w:vAlign w:val="center"/>
          </w:tcPr>
          <w:p>
            <w:r>
              <w:t xml:space="preserve">25% of our students are consistently in the 60th - 100th percentile in Grades 7-12.</w:t>
            </w:r>
          </w:p>
        </w:tc>
        <w:tc>
          <w:tcPr>
            <w:vAlign w:val="center"/>
          </w:tcPr>
          <w:p>
            <w:r>
              <w:t xml:space="preserve">True</w:t>
            </w:r>
          </w:p>
        </w:tc>
      </w:tr>
      <w:tr>
        <w:tc>
          <w:tcPr>
            <w:vAlign w:val="center"/>
          </w:tcPr>
          <w:p>
            <w:r>
              <w:t xml:space="preserve">There is a 5% increase from Grade 7 (32nd Percentile) to Grade 12 (37th Percentile). </w:t>
            </w:r>
          </w:p>
        </w:tc>
        <w:tc>
          <w:tcPr>
            <w:vAlign w:val="center"/>
          </w:tcPr>
          <w:p>
            <w:r>
              <w:t xml:space="preserve">False</w:t>
            </w:r>
          </w:p>
        </w:tc>
      </w:tr>
      <w:tr>
        <w:tc>
          <w:tcPr>
            <w:vAlign w:val="center"/>
          </w:tcPr>
          <w:p>
            <w:r>
              <w:t xml:space="preserve">College and Career Measures:  Career Standards Benchmark</w:t>
            </w:r>
          </w:p>
        </w:tc>
        <w:tc>
          <w:tcPr>
            <w:vAlign w:val="center"/>
          </w:tcPr>
          <w:p>
            <w:r>
              <w:t xml:space="preserve">True</w:t>
            </w:r>
          </w:p>
        </w:tc>
      </w:tr>
      <w:tr>
        <w:tc>
          <w:tcPr>
            <w:vAlign w:val="center"/>
          </w:tcPr>
          <w:p>
            <w:r>
              <w:t xml:space="preserve">Grades 7, 11 and 12 scored in the 32nd or 33rd percentile compared to same-grade U.S. student scores. </w:t>
            </w:r>
          </w:p>
        </w:tc>
        <w:tc>
          <w:tcPr>
            <w:vAlign w:val="center"/>
          </w:tcPr>
          <w:p>
            <w:r>
              <w:t xml:space="preserve">False</w:t>
            </w:r>
          </w:p>
        </w:tc>
      </w:tr>
      <w:tr>
        <w:tc>
          <w:tcPr>
            <w:vAlign w:val="center"/>
          </w:tcPr>
          <w:p>
            <w:r>
              <w:t xml:space="preserve">Alignment of the science curriculum to the new STEEL Standards should address gaps and/or needs in the instructional program to better address the content and skills assessed on the CDT and Biology Keystone Exam.</w:t>
            </w:r>
          </w:p>
        </w:tc>
        <w:tc>
          <w:tcPr>
            <w:vAlign w:val="center"/>
          </w:tcPr>
          <w:p>
            <w:r>
              <w:t xml:space="preserve">False</w:t>
            </w:r>
          </w:p>
        </w:tc>
      </w:tr>
      <w:tr>
        <w:tc>
          <w:tcPr>
            <w:vAlign w:val="center"/>
          </w:tcPr>
          <w:p>
            <w:r>
              <w:t xml:space="preserve">Grade 9 Biology CDT had highest percentage of students in Green range, 22%.</w:t>
            </w:r>
          </w:p>
        </w:tc>
        <w:tc>
          <w:tcPr>
            <w:vAlign w:val="center"/>
          </w:tcPr>
          <w:p>
            <w:r>
              <w:t xml:space="preserve">False</w:t>
            </w:r>
          </w:p>
        </w:tc>
      </w:tr>
      <w:tr>
        <w:tc>
          <w:tcPr>
            <w:vAlign w:val="center"/>
          </w:tcP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All student groups completed their Career Ready benchmark using Smart Futures.</w:t>
            </w:r>
          </w:p>
        </w:tc>
        <w:tc>
          <w:tcPr>
            <w:vAlign w:val="center"/>
          </w:tcPr>
          <w:p>
            <w:r>
              <w:t xml:space="preserve">True</w:t>
            </w:r>
          </w:p>
        </w:tc>
      </w:tr>
      <w:tr>
        <w:tc>
          <w:tcPr>
            <w:vAlign w:val="center"/>
          </w:tcPr>
          <w:p>
            <w:r>
              <w:t xml:space="preserve">20% of our students are consistently in the 60th - 100th percentile in Grades 7-12.</w:t>
            </w:r>
          </w:p>
        </w:tc>
        <w:tc>
          <w:tcPr>
            <w:vAlign w:val="center"/>
          </w:tcPr>
          <w:p>
            <w:r>
              <w:t xml:space="preserve">False</w:t>
            </w:r>
          </w:p>
        </w:tc>
      </w:tr>
      <w:tr>
        <w:tc>
          <w:tcPr>
            <w:vAlign w:val="center"/>
          </w:tcPr>
          <w:p>
            <w:r>
              <w:t xml:space="preserve">Students with disabilities have been meeting the growth standard in ELA, Math, and Science.</w:t>
            </w:r>
          </w:p>
        </w:tc>
        <w:tc>
          <w:tcPr>
            <w:vAlign w:val="center"/>
          </w:tcPr>
          <w:p>
            <w:r>
              <w:t xml:space="preserve">False</w:t>
            </w:r>
          </w:p>
        </w:tc>
      </w:tr>
      <w:tr>
        <w:tc>
          <w:tcPr>
            <w:vAlign w:val="center"/>
          </w:tcPr>
          <w:p>
            <w:r>
              <w:t xml:space="preserve">The graduation rate has reached 87% and the 2022-2023 school year.</w:t>
            </w:r>
          </w:p>
        </w:tc>
        <w:tc>
          <w:tcPr>
            <w:vAlign w:val="center"/>
          </w:tcPr>
          <w:p>
            <w:r>
              <w:t xml:space="preserve">False</w:t>
            </w:r>
          </w:p>
        </w:tc>
      </w:tr>
      <w:tr>
        <w:tc>
          <w:tcPr>
            <w:vAlign w:val="center"/>
          </w:tcPr>
          <w:p>
            <w:r>
              <w:t xml:space="preserve">Exceeding state average and statewide 2030 goal based upon Career Standards Benchmarks.</w:t>
            </w:r>
          </w:p>
        </w:tc>
        <w:tc>
          <w:tcPr>
            <w:vAlign w:val="center"/>
          </w:tcPr>
          <w:p>
            <w:r>
              <w:t xml:space="preserve">True</w:t>
            </w:r>
          </w:p>
        </w:tc>
      </w:tr>
      <w:tr>
        <w:tc>
          <w:tcPr>
            <w:vAlign w:val="center"/>
          </w:tcPr>
          <w:p/>
        </w:tc>
        <w:tc>
          <w:tcPr>
            <w:vAlign w:val="center"/>
          </w:tcPr>
          <w:p>
            <w:r>
              <w:t xml:space="preserve">False</w:t>
            </w:r>
          </w:p>
        </w:tc>
      </w:tr>
      <w:tr>
        <w:tc>
          <w:tcPr>
            <w:vAlign w:val="center"/>
          </w:tcPr>
          <w:p>
            <w:r>
              <w:t xml:space="preserve">East Allegheny School District partners with Pittsburgh Area Community Schools (PACS), which strives to be the leader of the community school implementation throughout the Pittsburgh Region, ensuring an equitable education experience for ALL students.</w:t>
            </w:r>
          </w:p>
        </w:tc>
        <w:tc>
          <w:tcPr>
            <w:vAlign w:val="center"/>
          </w:tcPr>
          <w:p>
            <w:r>
              <w:t xml:space="preserve">True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Industry-Based Learning for all student subgroups.</w:t>
            </w:r>
          </w:p>
        </w:tc>
        <w:tc>
          <w:tcPr>
            <w:vAlign w:val="center"/>
          </w:tcPr>
          <w:p>
            <w:r>
              <w:t xml:space="preserve">False</w:t>
            </w:r>
          </w:p>
        </w:tc>
      </w:tr>
      <w:tr>
        <w:tc>
          <w:tcPr>
            <w:vAlign w:val="center"/>
          </w:tcPr>
          <w:p>
            <w:r>
              <w:t xml:space="preserve">Rigorous Courses of Student for all student subgroups.</w:t>
            </w:r>
          </w:p>
        </w:tc>
        <w:tc>
          <w:tcPr>
            <w:vAlign w:val="center"/>
          </w:tcPr>
          <w:p>
            <w:r>
              <w:t xml:space="preserve">False</w:t>
            </w:r>
          </w:p>
        </w:tc>
      </w:tr>
      <w:tr>
        <w:tc>
          <w:tcPr>
            <w:vAlign w:val="center"/>
          </w:tcPr>
          <w:p>
            <w:r>
              <w:t xml:space="preserve">Achievement in ELA, Math, and Science for Black, White, 2 or more Races, and Economically Disadvantaged Students.</w:t>
            </w:r>
          </w:p>
        </w:tc>
        <w:tc>
          <w:tcPr>
            <w:vAlign w:val="center"/>
          </w:tcPr>
          <w:p>
            <w:r>
              <w:t xml:space="preserve">True</w:t>
            </w:r>
          </w:p>
        </w:tc>
      </w:tr>
      <w:tr>
        <w:tc>
          <w:tcPr>
            <w:vAlign w:val="center"/>
          </w:tcPr>
          <w:p>
            <w:r>
              <w:t xml:space="preserve">Attendance for all student subgroups.</w:t>
            </w:r>
          </w:p>
        </w:tc>
        <w:tc>
          <w:tcPr>
            <w:vAlign w:val="center"/>
          </w:tcPr>
          <w:p>
            <w:r>
              <w:t xml:space="preserve">False</w:t>
            </w:r>
          </w:p>
        </w:tc>
      </w:tr>
      <w:tr>
        <w:tc>
          <w:tcPr>
            <w:vAlign w:val="center"/>
          </w:tcPr>
          <w:p>
            <w:r>
              <w:t xml:space="preserve">75% of our students are below the 60th percentile in Grades 7 - 12 in ELA.</w:t>
            </w:r>
          </w:p>
        </w:tc>
        <w:tc>
          <w:tcPr>
            <w:vAlign w:val="center"/>
          </w:tcPr>
          <w:p>
            <w:r>
              <w:t xml:space="preserve">True</w:t>
            </w:r>
          </w:p>
        </w:tc>
      </w:tr>
      <w:tr>
        <w:tc>
          <w:tcPr>
            <w:vAlign w:val="center"/>
          </w:tcPr>
          <w:p>
            <w:r>
              <w:t xml:space="preserve">30-35% of our students are in need of urgent Tier 3 interventions in ELA.</w:t>
            </w:r>
          </w:p>
        </w:tc>
        <w:tc>
          <w:tcPr>
            <w:vAlign w:val="center"/>
          </w:tcPr>
          <w:p>
            <w:r>
              <w:t xml:space="preserve">True</w:t>
            </w:r>
          </w:p>
        </w:tc>
      </w:tr>
      <w:tr>
        <w:tc>
          <w:tcPr>
            <w:vAlign w:val="center"/>
          </w:tcPr>
          <w:p>
            <w:r>
              <w:t xml:space="preserve">34.7% of students in Grades 9-12 are enrolled in Rigorous Courses of Study, compared to the state average of 54.9%.  We must increase the course offerings and enrollment of students in these courses.</w:t>
            </w:r>
          </w:p>
        </w:tc>
        <w:tc>
          <w:tcPr>
            <w:vAlign w:val="center"/>
          </w:tcPr>
          <w:p>
            <w:r>
              <w:t xml:space="preserve">True</w:t>
            </w:r>
          </w:p>
        </w:tc>
      </w:tr>
      <w:tr>
        <w:tc>
          <w:tcPr>
            <w:vAlign w:val="center"/>
          </w:tcPr>
          <w:p>
            <w:r>
              <w:t xml:space="preserve">17.8% of students in Grades 9-12 are engage in Industry-Based Learning, compared to the state average of 32.8%.  We must increase the opportunities for students to engage in these types of Industry-Based Learning experiences.</w:t>
            </w:r>
          </w:p>
        </w:tc>
        <w:tc>
          <w:tcPr>
            <w:vAlign w:val="center"/>
          </w:tcPr>
          <w:p>
            <w:r>
              <w:t xml:space="preserve">True</w:t>
            </w:r>
          </w:p>
        </w:tc>
      </w:tr>
      <w:tr>
        <w:tc>
          <w:tcPr>
            <w:vAlign w:val="center"/>
          </w:tcPr>
          <w:p>
            <w:r>
              <w:t xml:space="preserve">30% of our students are in need of Tier 2 interventions in ELA.</w:t>
            </w:r>
          </w:p>
        </w:tc>
        <w:tc>
          <w:tcPr>
            <w:vAlign w:val="center"/>
          </w:tcPr>
          <w:p>
            <w:r>
              <w:t xml:space="preserve">False</w:t>
            </w:r>
          </w:p>
        </w:tc>
      </w:tr>
      <w:tr>
        <w:tc>
          <w:tcPr>
            <w:vAlign w:val="center"/>
          </w:tcPr>
          <w:p>
            <w:r>
              <w:t xml:space="preserve">80% of our students are below the 60th percentile in Grades 7 - 12 in Math.</w:t>
            </w:r>
          </w:p>
        </w:tc>
        <w:tc>
          <w:tcPr>
            <w:vAlign w:val="center"/>
          </w:tcPr>
          <w:p>
            <w:r>
              <w:t xml:space="preserve">True</w:t>
            </w:r>
          </w:p>
        </w:tc>
      </w:tr>
      <w:tr>
        <w:tc>
          <w:tcPr>
            <w:vAlign w:val="center"/>
          </w:tcPr>
          <w:p>
            <w:r>
              <w:t xml:space="preserve">35-50% of our students are in need of urgent Tier 3 interventions in Math.</w:t>
            </w:r>
          </w:p>
        </w:tc>
        <w:tc>
          <w:tcPr>
            <w:vAlign w:val="center"/>
          </w:tcPr>
          <w:p>
            <w:r>
              <w:t xml:space="preserve">True</w:t>
            </w:r>
          </w:p>
        </w:tc>
      </w:tr>
      <w:tr>
        <w:tc>
          <w:tcPr>
            <w:vAlign w:val="center"/>
          </w:tcPr>
          <w:p>
            <w:r>
              <w:t xml:space="preserve">20-25% of our students are in need of Tier 2 interventions in Math.</w:t>
            </w:r>
          </w:p>
        </w:tc>
        <w:tc>
          <w:tcPr>
            <w:vAlign w:val="center"/>
          </w:tcPr>
          <w:p>
            <w:r>
              <w:t xml:space="preserve">True</w:t>
            </w:r>
          </w:p>
        </w:tc>
      </w:tr>
      <w:tr>
        <w:tc>
          <w:tcPr>
            <w:vAlign w:val="center"/>
          </w:tcPr>
          <w:p>
            <w:r>
              <w:t xml:space="preserve">Attendance continues to be a barrier for all of our student subgroups.</w:t>
            </w:r>
          </w:p>
        </w:tc>
        <w:tc>
          <w:tcPr>
            <w:vAlign w:val="center"/>
          </w:tcPr>
          <w:p>
            <w:r>
              <w:t xml:space="preserve">False</w:t>
            </w:r>
          </w:p>
        </w:tc>
      </w:tr>
      <w:tr>
        <w:tc>
          <w:tcPr>
            <w:vAlign w:val="center"/>
          </w:tcPr>
          <w:p>
            <w:r>
              <w:t xml:space="preserve">Students continuing to underperform in Biology.</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Lack of MTSS structure and appropriate interventions to address skill gaps and deficits effectively.</w:t>
            </w:r>
          </w:p>
        </w:tc>
        <w:tc>
          <w:tcPr>
            <w:vAlign w:val="center"/>
          </w:tcPr>
          <w:p>
            <w:r>
              <w:t xml:space="preserve">False</w:t>
            </w:r>
          </w:p>
        </w:tc>
      </w:tr>
      <w:tr>
        <w:tc>
          <w:tcPr>
            <w:vAlign w:val="center"/>
          </w:tcPr>
          <w:p>
            <w:r>
              <w:t xml:space="preserve">Lack of internship, apprenticeship, and industry-based experiences for students on a career track.</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Implement evidence-based strategies to engage families to support learning. </w:t>
            </w:r>
          </w:p>
        </w:tc>
        <w:tc>
          <w:tcPr>
            <w:vAlign w:val="center"/>
          </w:tcPr>
          <w:p>
            <w:r>
              <w:t xml:space="preserve">True</w:t>
            </w:r>
          </w:p>
        </w:tc>
      </w:tr>
      <w:tr>
        <w:tc>
          <w:tcPr>
            <w:vAlign w:val="center"/>
          </w:tcPr>
          <w:p>
            <w:r>
              <w:t xml:space="preserve">Provide frequent, timely, and systematic feedback and support on instructional practices.</w:t>
            </w:r>
          </w:p>
        </w:tc>
        <w:tc>
          <w:tcPr>
            <w:vAlign w:val="center"/>
          </w:tcPr>
          <w:p>
            <w:r>
              <w:t xml:space="preserve">True</w:t>
            </w:r>
          </w:p>
        </w:tc>
      </w:tr>
      <w:tr>
        <w:tc>
          <w:tcPr>
            <w:vAlign w:val="center"/>
          </w:tcPr>
          <w:p>
            <w:r>
              <w:t xml:space="preserve">Only 8% of students are slated for proficiency on the Biology CDT Exams.  </w:t>
            </w:r>
          </w:p>
        </w:tc>
        <w:tc>
          <w:tcPr>
            <w:vAlign w:val="center"/>
          </w:tcPr>
          <w:p>
            <w:r>
              <w:t xml:space="preserve">False</w:t>
            </w:r>
          </w:p>
        </w:tc>
      </w:tr>
      <w:tr>
        <w:tc>
          <w:tcPr>
            <w:vAlign w:val="center"/>
          </w:tcPr>
          <w:p>
            <w:r>
              <w:t xml:space="preserve">Attendance for all student subgroups (Black, White, 2 or More Races, Economically Disadvantaged, Students with Disabilities)</w:t>
            </w:r>
          </w:p>
        </w:tc>
        <w:tc>
          <w:tcPr>
            <w:vAlign w:val="center"/>
          </w:tcPr>
          <w:p>
            <w:r>
              <w:t xml:space="preserve">True</w:t>
            </w:r>
          </w:p>
        </w:tc>
      </w:tr>
      <w:tr>
        <w:tc>
          <w:tcPr>
            <w:vAlign w:val="center"/>
          </w:tcPr>
          <w:p>
            <w:r>
              <w:t xml:space="preserve">Significant gaps in mathematics skills and reading abilities continues to negatively impact students of all subgroups.</w:t>
            </w:r>
          </w:p>
        </w:tc>
        <w:tc>
          <w:tcPr>
            <w:vAlign w:val="center"/>
          </w:tcPr>
          <w:p>
            <w:r>
              <w:t xml:space="preserve">False</w:t>
            </w:r>
          </w:p>
        </w:tc>
      </w:tr>
      <w:tr>
        <w:tc>
          <w:tcPr>
            <w:vAlign w:val="center"/>
          </w:tcPr>
          <w:p>
            <w:r>
              <w:t xml:space="preserve">Identify and address individual student learning needs through a systematic MTSS Process. </w:t>
            </w:r>
          </w:p>
        </w:tc>
        <w:tc>
          <w:tcPr>
            <w:vAlign w:val="center"/>
          </w:tcPr>
          <w:p>
            <w:r>
              <w:t xml:space="preserve">True</w:t>
            </w:r>
          </w:p>
        </w:tc>
      </w:tr>
      <w:tr>
        <w:tc>
          <w:tcPr>
            <w:vAlign w:val="center"/>
          </w:tcPr>
          <w:p>
            <w:r>
              <w:t xml:space="preserve">Align curricular materials and lesson plans to the PA Standards.  Use systematic, collaborative planning processes to ensure instruction is coordinated, aligned, and evidence-based.</w:t>
            </w:r>
          </w:p>
        </w:tc>
        <w:tc>
          <w:tcPr>
            <w:vAlign w:val="center"/>
          </w:tcPr>
          <w:p>
            <w:r>
              <w:t xml:space="preserve">True</w:t>
            </w:r>
          </w:p>
        </w:tc>
      </w:tr>
      <w:tr>
        <w:tc>
          <w:tcPr>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True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t xml:space="preserve">Attendance rates of all students in our subgroup areas are a top priority, as if students are not in the building they do not have access to learning. We are redefining attendance processes and procedures as well as parent communication and engagement strategies to build better relationships with parents, students, and families to support school attendance. 
We have redefined our values as a district, which includes Engaging Academics, Supporting Student Growth, Professional Growth, and Improving School Culture that will be communicated to students, staff, and families about the new administrative team's efforts to lead overall school change and improvement.  PBIS training will occur in the fall, and the PBIS revamp will take place in the second semester, which includes collaboration between students, teachers, and administrators to continue to improve the overall school culture.
MTSS training will occur in the fall, teams will be developed, intervention strategies will be shared with teachers (including training for special education and regular education teachers), a system for teachers to refer students to the MTSS team will be set up, and the team will meet bi-weekly to evaluate the referrals, put interventions in place, and assess the success of the interventions.
</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Achievement in ELA, Math, and Science for Black, White, 2 or more Races, and Economically Disadvantaged Students.</w:t>
            </w:r>
          </w:p>
        </w:tc>
        <w:tc>
          <w:tcPr>
            <w:vAlign w:val="center"/>
          </w:tcPr>
          <w:p>
            <w:r>
              <w:t xml:space="preserve">Regular monitoring of student learning is not occurring. Reteaching and remediation are not happening consistently. Regular education and special education teachers have not had time to collaborate to plan instruction to address needs. The lack of a proper MTSS Process hinders the ability for teachers to successfully provide proper academic interventions for struggling students.  </w:t>
            </w:r>
          </w:p>
        </w:tc>
        <w:tc>
          <w:tcPr>
            <w:vAlign w:val="center"/>
          </w:tcPr>
          <w:p>
            <w:r>
              <w:t xml:space="preserve">True</w:t>
            </w:r>
          </w:p>
        </w:tc>
      </w:tr>
      <w:tr>
        <w:tc>
          <w:tcPr>
            <w:vAlign w:val="center"/>
          </w:tcPr>
          <w:p>
            <w:r>
              <w:t xml:space="preserve">34.7% of students in Grades 9-12 are enrolled in Rigorous Courses of Study, compared to the state average of 54.9%.  We must increase the course offerings and enrollment of students in these courses.</w:t>
            </w:r>
          </w:p>
        </w:tc>
        <w:tc>
          <w:tcPr>
            <w:vAlign w:val="center"/>
          </w:tcPr>
          <w:p/>
        </w:tc>
        <w:tc>
          <w:tcPr>
            <w:vAlign w:val="center"/>
          </w:tcPr>
          <w:p>
            <w:r>
              <w:t xml:space="preserve">False</w:t>
            </w:r>
          </w:p>
        </w:tc>
      </w:tr>
      <w:tr>
        <w:tc>
          <w:tcPr>
            <w:vAlign w:val="center"/>
          </w:tcPr>
          <w:p>
            <w:r>
              <w:t xml:space="preserve">17.8% of students in Grades 9-12 are engage in Industry-Based Learning, compared to the state average of 32.8%.  We must increase the opportunities for students to engage in these types of Industry-Based Learning experiences.</w:t>
            </w:r>
          </w:p>
        </w:tc>
        <w:tc>
          <w:tcPr>
            <w:vAlign w:val="center"/>
          </w:tcPr>
          <w:p/>
        </w:tc>
        <w:tc>
          <w:tcPr>
            <w:vAlign w:val="center"/>
          </w:tcPr>
          <w:p>
            <w:r>
              <w:t xml:space="preserve">False</w:t>
            </w:r>
          </w:p>
        </w:tc>
      </w:tr>
      <w:tr>
        <w:tc>
          <w:tcPr>
            <w:vAlign w:val="center"/>
          </w:tcPr>
          <w:p>
            <w:r>
              <w:t xml:space="preserve">Attendance for all student subgroups (Black, White, 2 or More Races, Economically Disadvantaged, Students with Disabilities)</w:t>
            </w:r>
          </w:p>
        </w:tc>
        <w:tc>
          <w:tcPr>
            <w:vAlign w:val="center"/>
          </w:tcPr>
          <w:p>
            <w:r>
              <w:t xml:space="preserve">Conferencing and planning with students and families occurs once a student has missed 10 days of school, making it difficult to change once established. We will hold monthly attendance meetings to analyze data and issue appropriate communications to parents/guardians.  We will monitor each quarter and address attendance barriers once students have missed 3 or more days.</w:t>
            </w:r>
          </w:p>
        </w:tc>
        <w:tc>
          <w:tcPr>
            <w:vAlign w:val="center"/>
          </w:tcPr>
          <w:p>
            <w:r>
              <w:t xml:space="preserve">True</w:t>
            </w:r>
          </w:p>
        </w:tc>
      </w:tr>
      <w:tr>
        <w:tc>
          <w:tcPr>
            <w:vAlign w:val="center"/>
          </w:tcPr>
          <w:p>
            <w:r>
              <w:t xml:space="preserve">20-25% of our students are in need of Tier 2 interventions in Math.</w:t>
            </w:r>
          </w:p>
        </w:tc>
        <w:tc>
          <w:tcPr>
            <w:vAlign w:val="center"/>
          </w:tcPr>
          <w:p/>
        </w:tc>
        <w:tc>
          <w:tcPr>
            <w:vAlign w:val="center"/>
          </w:tcPr>
          <w:p>
            <w:r>
              <w:t xml:space="preserve">False</w:t>
            </w:r>
          </w:p>
        </w:tc>
      </w:tr>
      <w:tr>
        <w:tc>
          <w:tcPr>
            <w:vAlign w:val="center"/>
          </w:tcPr>
          <w:p>
            <w:r>
              <w:t xml:space="preserve">35-50% of our students are in need of urgent Tier 3 interventions in Math.</w:t>
            </w:r>
          </w:p>
        </w:tc>
        <w:tc>
          <w:tcPr>
            <w:vAlign w:val="center"/>
          </w:tcPr>
          <w:p/>
        </w:tc>
        <w:tc>
          <w:tcPr>
            <w:vAlign w:val="center"/>
          </w:tcPr>
          <w:p>
            <w:r>
              <w:t xml:space="preserve">False</w:t>
            </w:r>
          </w:p>
        </w:tc>
      </w:tr>
      <w:tr>
        <w:tc>
          <w:tcPr>
            <w:vAlign w:val="center"/>
          </w:tcPr>
          <w:p>
            <w:r>
              <w:t xml:space="preserve">80% of our students are below the 60th percentile in Grades 7 - 12 in Math.</w:t>
            </w:r>
          </w:p>
        </w:tc>
        <w:tc>
          <w:tcPr>
            <w:vAlign w:val="center"/>
          </w:tcPr>
          <w:p/>
        </w:tc>
        <w:tc>
          <w:tcPr>
            <w:vAlign w:val="center"/>
          </w:tcPr>
          <w:p>
            <w:r>
              <w:t xml:space="preserve">False</w:t>
            </w:r>
          </w:p>
        </w:tc>
      </w:tr>
      <w:tr>
        <w:tc>
          <w:tcPr>
            <w:vAlign w:val="center"/>
          </w:tcPr>
          <w:p>
            <w:r>
              <w:t xml:space="preserve">Provide frequent, timely, and systematic feedback and support on instructional practices.</w:t>
            </w:r>
          </w:p>
        </w:tc>
        <w:tc>
          <w:tcPr>
            <w:vAlign w:val="center"/>
          </w:tcPr>
          <w:p/>
        </w:tc>
        <w:tc>
          <w:tcPr>
            <w:vAlign w:val="center"/>
          </w:tcPr>
          <w:p>
            <w:r>
              <w:t xml:space="preserve">False</w:t>
            </w:r>
          </w:p>
        </w:tc>
      </w:tr>
      <w:tr>
        <w:tc>
          <w:tcPr>
            <w:vAlign w:val="center"/>
          </w:tcPr>
          <w:p>
            <w:r>
              <w:t xml:space="preserve">Promote and sustain a positive school environment where all members feel welcomed, supported, and safe in school: socially, emotionally, intellectually, and physically.</w:t>
            </w:r>
          </w:p>
        </w:tc>
        <w:tc>
          <w:tcPr>
            <w:vAlign w:val="center"/>
          </w:tcPr>
          <w:p/>
        </w:tc>
        <w:tc>
          <w:tcPr>
            <w:vAlign w:val="center"/>
          </w:tcPr>
          <w:p>
            <w:r>
              <w:t xml:space="preserve">False</w:t>
            </w:r>
          </w:p>
        </w:tc>
      </w:tr>
      <w:tr>
        <w:tc>
          <w:tcPr>
            <w:vAlign w:val="center"/>
          </w:tcPr>
          <w:p>
            <w:r>
              <w:t xml:space="preserve">Align curricular materials and lesson plans to the PA Standards.  Use systematic, collaborative planning processes to ensure instruction is coordinated, aligned, and evidence-based.</w:t>
            </w:r>
          </w:p>
        </w:tc>
        <w:tc>
          <w:tcPr>
            <w:vAlign w:val="center"/>
          </w:tcPr>
          <w:p/>
        </w:tc>
        <w:tc>
          <w:tcPr>
            <w:vAlign w:val="center"/>
          </w:tcPr>
          <w:p>
            <w:r>
              <w:t xml:space="preserve">False</w:t>
            </w:r>
          </w:p>
        </w:tc>
      </w:tr>
      <w:tr>
        <w:tc>
          <w:tcPr>
            <w:vAlign w:val="center"/>
          </w:tcPr>
          <w:p>
            <w:r>
              <w:t xml:space="preserve">Implement evidence-based strategies to engage families to support learning. </w:t>
            </w:r>
          </w:p>
        </w:tc>
        <w:tc>
          <w:tcPr>
            <w:vAlign w:val="center"/>
          </w:tcPr>
          <w:p/>
        </w:tc>
        <w:tc>
          <w:tcPr>
            <w:vAlign w:val="center"/>
          </w:tcPr>
          <w:p>
            <w:r>
              <w:t xml:space="preserve">False</w:t>
            </w:r>
          </w:p>
        </w:tc>
      </w:tr>
      <w:tr>
        <w:tc>
          <w:tcPr>
            <w:vAlign w:val="center"/>
          </w:tcPr>
          <w:p>
            <w:r>
              <w:t xml:space="preserve">Identify and address individual student learning needs through a systematic MTSS Process. </w:t>
            </w:r>
          </w:p>
        </w:tc>
        <w:tc>
          <w:tcPr>
            <w:vAlign w:val="center"/>
          </w:tcPr>
          <w:p>
            <w:r>
              <w:t xml:space="preserve">Utilizing available data, teachers will focus on differentiation as well as identifying students that require more intensive Tiered interventions as per our MTSS Process.</w:t>
            </w:r>
          </w:p>
        </w:tc>
        <w:tc>
          <w:tcPr>
            <w:vAlign w:val="center"/>
          </w:tcPr>
          <w:p>
            <w:r>
              <w:t xml:space="preserve">True</w:t>
            </w:r>
          </w:p>
        </w:tc>
      </w:tr>
      <w:tr>
        <w:tc>
          <w:tcPr>
            <w:vAlign w:val="center"/>
          </w:tcPr>
          <w:p>
            <w:r>
              <w:t xml:space="preserve">75% of our students are below the 60th percentile in Grades 7 - 12 in ELA.</w:t>
            </w:r>
          </w:p>
        </w:tc>
        <w:tc>
          <w:tcPr>
            <w:vAlign w:val="center"/>
          </w:tcPr>
          <w:p/>
        </w:tc>
        <w:tc>
          <w:tcPr>
            <w:vAlign w:val="center"/>
          </w:tcPr>
          <w:p>
            <w:r>
              <w:t xml:space="preserve">False</w:t>
            </w:r>
          </w:p>
        </w:tc>
      </w:tr>
      <w:tr>
        <w:tc>
          <w:tcPr>
            <w:vAlign w:val="center"/>
          </w:tcPr>
          <w:p>
            <w:r>
              <w:t xml:space="preserve">30-35% of our students are in need of urgent Tier 3 interventions in ELA.</w:t>
            </w:r>
          </w:p>
        </w:tc>
        <w:tc>
          <w:tcPr>
            <w:vAlign w:val="center"/>
          </w:tcPr>
          <w:p/>
        </w:tc>
        <w:tc>
          <w:tcPr>
            <w:vAlign w:val="center"/>
          </w:tcPr>
          <w:p>
            <w:r>
              <w:t xml:space="preserve">False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25% of our students are consistently in the 60th - 100th percentile in Grades 7-12.</w:t>
            </w:r>
          </w:p>
        </w:tc>
        <w:tc>
          <w:tcPr>
            <w:vAlign w:val="center"/>
          </w:tcPr>
          <w:p>
            <w:r>
              <w:t xml:space="preserve">Some students are successful in ELA, but only a small percentage.  Using and reviewing data, along with the implementation of MTSS will allow for refinement of strategies based on ongoing reflection of what is and is not working for specific students.</w:t>
            </w:r>
          </w:p>
        </w:tc>
      </w:tr>
      <w:tr>
        <w:tc>
          <w:tcPr>
            <w:vAlign w:val="center"/>
          </w:tcPr>
          <w:p>
            <w:r>
              <w:t xml:space="preserve">PVAAS:  Students with Disabilities are Meeting Statewide Growth Standard in English Language Arts/Literature, Mathematics/Algebra, and Science/Biology.</w:t>
            </w:r>
          </w:p>
        </w:tc>
        <w:tc>
          <w:tcPr>
            <w:vAlign w:val="center"/>
          </w:tcPr>
          <w:p>
            <w:r>
              <w:t xml:space="preserve">Engage with special education teachers to assess what types of interventions are being done with special education students to achieve growth, and how those interventions/actions/supports can be translated into the regular classroom to support all struggling students.</w:t>
            </w:r>
          </w:p>
        </w:tc>
      </w:tr>
      <w:tr>
        <w:tc>
          <w:tcPr>
            <w:vAlign w:val="center"/>
          </w:tcPr>
          <w:p>
            <w:r>
              <w:t xml:space="preserve">High School Graduation Rate</w:t>
            </w:r>
          </w:p>
        </w:tc>
        <w:tc>
          <w:tcPr>
            <w:vAlign w:val="center"/>
          </w:tcPr>
          <w:p>
            <w:r>
              <w:t xml:space="preserve">Graduation rate has reached 87%, which is on par with the state average, but we will continue to meet with every senior to ensure that credits are acquired, plans are in place, and students are prepared to graduate on time.</w:t>
            </w:r>
          </w:p>
        </w:tc>
      </w:tr>
      <w:tr>
        <w:tc>
          <w:tcPr>
            <w:vAlign w:val="center"/>
          </w:tcPr>
          <w:p>
            <w:r>
              <w:t xml:space="preserve">College and Career Measures:  Career Standards Benchmark</w:t>
            </w:r>
          </w:p>
        </w:tc>
        <w:tc>
          <w:tcPr>
            <w:vAlign w:val="center"/>
          </w:tcPr>
          <w:p>
            <w:r>
              <w:t xml:space="preserve">Leverage the Smart Futures experiences that students are engaging in College/Career/Life Ready activities to increase opportunities for Career, Technical, and Industry-Based experiences for student such as apprenticeships, internships, and job shadows.</w:t>
            </w:r>
          </w:p>
        </w:tc>
      </w:tr>
      <w:tr>
        <w:tc>
          <w:tcPr>
            <w:vAlign w:val="center"/>
          </w:tcPr>
          <w:p>
            <w:r>
              <w:t xml:space="preserve">All student groups completed their Career Ready benchmark using Smart Futures.</w:t>
            </w:r>
          </w:p>
        </w:tc>
        <w:tc>
          <w:tcPr>
            <w:vAlign w:val="center"/>
          </w:tcPr>
          <w:p>
            <w:r>
              <w:t xml:space="preserve">Leverage the Smart Futures experiences that students are engaging in College/Career/Life Ready activities to increase opportunities for Career, Technical, and Industry-Based experiences for student such as apprenticeships, internships, and job shadows.</w:t>
            </w:r>
          </w:p>
        </w:tc>
      </w:tr>
      <w:tr>
        <w:tc>
          <w:tcPr>
            <w:vAlign w:val="center"/>
          </w:tcPr>
          <w:p>
            <w:r>
              <w:t xml:space="preserve">Exceeding state average and statewide 2030 goal based upon Career Standards Benchmarks.</w:t>
            </w:r>
          </w:p>
        </w:tc>
        <w:tc>
          <w:tcPr>
            <w:vAlign w:val="center"/>
          </w:tcPr>
          <w:p>
            <w:r>
              <w:t xml:space="preserve">Leverage the Smart Futures experiences that students are engaging in College/Career/Life Ready activities to increase opportunities for Career, Technical, and Industry-Based experiences for student such as apprenticeships, internships, and job shadows.</w:t>
            </w:r>
          </w:p>
        </w:tc>
      </w:tr>
      <w:tr>
        <w:tc>
          <w:tcPr>
            <w:vAlign w:val="center"/>
          </w:tcPr>
          <w:p>
            <w:r>
              <w:t xml:space="preserve">East Allegheny School District partners with Pittsburgh Area Community Schools (PACS), which strives to be the leader of the community school implementation throughout the Pittsburgh Region, ensuring an equitable education experience for ALL students.</w:t>
            </w:r>
          </w:p>
        </w:tc>
        <w:tc>
          <w:tcPr>
            <w:vAlign w:val="center"/>
          </w:tcPr>
          <w:p>
            <w:r>
              <w:t xml:space="preserve">Partnerships support implementation of initiatives.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If students experience consistent Tier 1 and 2 Interventions that address closing gaps in Math, ELA, and Science, then their performance on MAP assessments will improve, and more than 50% who participate with fidelity will show growth on the MAP assessment during the 2024-2025 school year.</w:t>
            </w:r>
          </w:p>
        </w:tc>
      </w:tr>
      <w:tr>
        <w:tc>
          <w:tcPr>
            <w:vAlign w:val="center"/>
          </w:tcPr>
          <w:p/>
        </w:tc>
        <w:tc>
          <w:tcPr>
            <w:vAlign w:val="center"/>
          </w:tcPr>
          <w:p>
            <w:r>
              <w:t xml:space="preserve">If students are provided with incentives on a quarterly basis to miss 4 days or fewer of school, then they will be more likely to make regular attendance a priority, so that 85% of all student subgroups (Black, White, 2 or More Races, Economically Disadvantaged, Students with Disabilities) will have regular attendance in the 2024-2025 school year.</w:t>
            </w:r>
          </w:p>
        </w:tc>
      </w:tr>
      <w:tr>
        <w:tc>
          <w:tcPr>
            <w:vAlign w:val="center"/>
          </w:tcPr>
          <w:p/>
        </w:tc>
        <w:tc>
          <w:tcPr>
            <w:vAlign w:val="center"/>
          </w:tcPr>
          <w:p>
            <w:r>
              <w:t xml:space="preserve">If a sound MTSS process is put into place, including staff training and system building, 80% of students in need of Tier 1 and Tier 2 interventions in Math, ELA, and Science will show growth by May 1, 2025.</w:t>
            </w:r>
          </w:p>
        </w:tc>
      </w:tr>
    </w:tbl>
    <w:p>
      <w:r>
        <w:br/>
      </w:r>
      <w:r>
        <w:br/>
      </w:r>
      <w:r>
        <w:br/>
      </w:r>
      <w:r>
        <w:br/>
      </w:r>
      <w:r>
        <w:br/>
      </w:r>
      <w:r>
        <w:br/>
      </w:r>
      <w:r>
        <w:br w:type="page"/>
      </w:r>
      <w:r>
        <w:lastRenderedPageBreak/>
      </w:r>
    </w:p>
    <w:p>
      <w:pPr>
        <w:pStyle w:val="Heading1"/>
      </w:pPr>
      <w:r>
        <w:t xml:space="preserve">Goal Setting</w:t>
      </w:r>
    </w:p>
    <w:p>
      <w:pPr>
        <w:pStyle w:val="Heading2"/>
      </w:pPr>
      <w:r>
        <w:t xml:space="preserve">Priority: If students experience consistent Tier 1 and 2 Interventions that address closing gaps in Math, ELA, and Science, then their performance on MAP assessments will improve, and more than 50% who participate with fidelity will show growth on the MAP assessment during the 2024-2025 school year.</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All students enrolled in Algebra I will take the Keystone Algebra Exam and 35% will pass the Keystone Exam.</w:t>
            </w:r>
          </w:p>
        </w:tc>
      </w:tr>
      <w:tr>
        <w:tc>
          <w:tcPr>
            <w:gridSpan w:val="4"/>
            <w:vAlign w:val="center"/>
          </w:tcPr>
          <w:p>
            <w:r>
              <w:rPr>
                <w:b/>
              </w:rPr>
              <w:t xml:space="preserve">Measurable Goal Nickname (35 Character Max)</w:t>
            </w:r>
          </w:p>
        </w:tc>
      </w:tr>
      <w:tr>
        <w:tc>
          <w:tcPr>
            <w:gridSpan w:val="4"/>
            <w:vAlign w:val="center"/>
          </w:tcPr>
          <w:p>
            <w:r>
              <w:t xml:space="preserve">Math MAPs Growth</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tc>
        <w:tc>
          <w:tcPr>
            <w:vAlign w:val="center"/>
          </w:tcPr>
          <w:p/>
        </w:tc>
        <w:tc>
          <w:tcPr>
            <w:vAlign w:val="center"/>
          </w:tcPr>
          <w:p/>
        </w:tc>
        <w:tc>
          <w:tcPr>
            <w:vAlign w:val="center"/>
          </w:tcP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All students enrolled in English 10 Literature will take the Keystone Literature Exam and 50% will pass the Keystone Exam.</w:t>
            </w:r>
          </w:p>
        </w:tc>
      </w:tr>
      <w:tr>
        <w:tc>
          <w:tcPr>
            <w:gridSpan w:val="4"/>
            <w:vAlign w:val="center"/>
          </w:tcPr>
          <w:p>
            <w:r>
              <w:rPr>
                <w:b/>
              </w:rPr>
              <w:t xml:space="preserve">Measurable Goal Nickname (35 Character Max)</w:t>
            </w:r>
          </w:p>
        </w:tc>
      </w:tr>
      <w:tr>
        <w:tc>
          <w:tcPr>
            <w:gridSpan w:val="4"/>
            <w:vAlign w:val="center"/>
          </w:tcPr>
          <w:p>
            <w:r>
              <w:t xml:space="preserve">ELA MAPs Growth</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tc>
        <w:tc>
          <w:tcPr>
            <w:vAlign w:val="center"/>
          </w:tcPr>
          <w:p/>
        </w:tc>
        <w:tc>
          <w:tcPr>
            <w:vAlign w:val="center"/>
          </w:tcPr>
          <w:p/>
        </w:tc>
        <w:tc>
          <w:tcPr>
            <w:vAlign w:val="center"/>
          </w:tcPr>
          <w:p/>
        </w:tc>
      </w:tr>
    </w:tbl>
    <w:p>
      <w:pPr>
        <w:pStyle w:val="Heading2"/>
      </w:pPr>
      <w:r>
        <w:t xml:space="preserve">Priority: If students are provided with incentives on a quarterly basis to miss 4 days or fewer of school, then they will be more likely to make regular attendance a priority, so that 85% of all student subgroups (Black, White, 2 or More Races, Economically Disadvantaged, Students with Disabilities) will have regular attendance in the 2024-2025 school year.</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By the end of the 2024-2025 school year, East Allegheny Junior Senior High School will increase the overall student attendance rate to 85% from all student subgroups (Black, White, 2 or More Races, Economically Disadvantaged, Students with Disabilities).</w:t>
            </w:r>
          </w:p>
        </w:tc>
      </w:tr>
      <w:tr>
        <w:tc>
          <w:tcPr>
            <w:gridSpan w:val="4"/>
            <w:vAlign w:val="center"/>
          </w:tcPr>
          <w:p>
            <w:r>
              <w:rPr>
                <w:b/>
              </w:rPr>
              <w:t xml:space="preserve">Measurable Goal Nickname (35 Character Max)</w:t>
            </w:r>
          </w:p>
        </w:tc>
      </w:tr>
      <w:tr>
        <w:tc>
          <w:tcPr>
            <w:gridSpan w:val="4"/>
            <w:vAlign w:val="center"/>
          </w:tcPr>
          <w:p>
            <w:r>
              <w:t xml:space="preserve">Increased Regular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tc>
        <w:tc>
          <w:tcPr>
            <w:vAlign w:val="center"/>
          </w:tcPr>
          <w:p/>
        </w:tc>
        <w:tc>
          <w:tcPr>
            <w:vAlign w:val="center"/>
          </w:tcPr>
          <w:p/>
        </w:tc>
        <w:tc>
          <w:tcPr>
            <w:vAlign w:val="center"/>
          </w:tcPr>
          <w:p/>
        </w:tc>
      </w:tr>
    </w:tbl>
    <w:p>
      <w:pPr>
        <w:pStyle w:val="Heading2"/>
      </w:pPr>
      <w:r>
        <w:t xml:space="preserve">Priority: If a sound MTSS process is put into place, including staff training and system building, 80% of students in need of Tier 1 and Tier 2 interventions in Math, ELA, and Science will show growth by May 1, 2025.</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Essential Practices 3: Provide Student-Centered Support Systems                                            </w:t>
            </w:r>
          </w:p>
        </w:tc>
      </w:tr>
      <w:tr>
        <w:tc>
          <w:tcPr>
            <w:gridSpan w:val="4"/>
            <w:vAlign w:val="center"/>
          </w:tcPr>
          <w:p>
            <w:r>
              <w:rPr>
                <w:b/>
              </w:rPr>
              <w:t xml:space="preserve">Measurable Goal Statement (Smart Goal)</w:t>
            </w:r>
          </w:p>
        </w:tc>
      </w:tr>
      <w:tr>
        <w:tc>
          <w:tcPr>
            <w:gridSpan w:val="4"/>
            <w:vAlign w:val="center"/>
          </w:tcPr>
          <w:p>
            <w:r>
              <w:t xml:space="preserve">By the end of the 2024-25 school year, an MTSS team will be established and processes will be in place including monitoring student progress with 70% fidelity. 
</w:t>
            </w:r>
          </w:p>
        </w:tc>
      </w:tr>
      <w:tr>
        <w:tc>
          <w:tcPr>
            <w:gridSpan w:val="4"/>
            <w:vAlign w:val="center"/>
          </w:tcPr>
          <w:p>
            <w:r>
              <w:rPr>
                <w:b/>
              </w:rPr>
              <w:t xml:space="preserve">Measurable Goal Nickname (35 Character Max)</w:t>
            </w:r>
          </w:p>
        </w:tc>
      </w:tr>
      <w:tr>
        <w:tc>
          <w:tcPr>
            <w:gridSpan w:val="4"/>
            <w:vAlign w:val="center"/>
          </w:tcPr>
          <w:p>
            <w:r>
              <w:t xml:space="preserve">MTSS Implementation</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MTSS Implementation</w:t>
            </w:r>
          </w:p>
        </w:tc>
        <w:tc>
          <w:tcPr>
            <w:vAlign w:val="center"/>
          </w:tcPr>
          <w:p>
            <w:r>
              <w:t xml:space="preserve">ELA MAPs Growth</w:t>
            </w:r>
          </w:p>
        </w:tc>
      </w:tr>
      <w:tr>
        <w:tc>
          <w:tcPr>
            <w:vAlign w:val="center"/>
          </w:tcPr>
          <w:p>
            <w:r>
              <w:t xml:space="preserve">Math MAPs Growth</w:t>
            </w:r>
          </w:p>
        </w:tc>
        <w:tc>
          <w:tcPr>
            <w:vAlign w:val="center"/>
          </w:tcPr>
          <w:p>
            <w:r>
              <w:t xml:space="preserve">Increased Regular Attendance</w:t>
            </w:r>
          </w:p>
        </w:tc>
      </w:tr>
      <w:tr>
        <w:tc>
          <w:tcPr>
            <w:vAlign w:val="center"/>
          </w:tcPr>
          <w:p/>
        </w:tc>
      </w:tr>
    </w:tbl>
    <w:p>
      <w:pPr>
        <w:pStyle w:val="Heading2"/>
      </w:pPr>
      <w:r>
        <w:t xml:space="preserve">Action Plan For: </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tc>
        <w:tc>
          <w:tcPr>
            <w:vAlign w:val="center"/>
          </w:tcPr>
          <w:p/>
        </w:tc>
        <w:tc>
          <w:tcPr>
            <w:vAlign w:val="center"/>
          </w:tcP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tc>
        <w:tc>
          <w:tcPr>
            <w:vAlign w:val="center"/>
          </w:tcPr>
          <w:p/>
        </w:tc>
        <w:tc>
          <w:tcPr>
            <w:vAlign w:val="center"/>
          </w:tcP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tc>
        <w:tc>
          <w:tcPr>
            <w:vAlign w:val="center"/>
          </w:tcP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False </w:t>
      </w:r>
      <w:r>
        <w:t xml:space="preserve">School does not receive School Improvement Set Aside Grant.									</w:t>
      </w:r>
    </w:p>
    <w:tbl>
      <w:tblPr>
        <w:tblStyle w:val="TableGrid"/>
        <w:tblW w:w="0" w:type="auto"/>
      </w:tblPr>
      <w:tblGrid>
        <w:gridCol/>
        <w:gridCol/>
        <w:gridCol/>
        <w:gridCol/>
        <w:gridCol/>
      </w:tblGrid>
      <w:tr>
        <w:tc>
          <w:tcPr>
            <w:tcW w:w="1000" w:type="pct"/>
            <w:vAlign w:val="center"/>
          </w:tcPr>
          <w:p>
            <w:r>
              <w:rPr>
                <w:b/>
              </w:rPr>
              <w:t xml:space="preserve">Expenditure Description  </w:t>
            </w:r>
          </w:p>
        </w:tc>
        <w:tc>
          <w:tcPr>
            <w:tcW w:w="1000" w:type="pct"/>
            <w:vAlign w:val="center"/>
          </w:tcPr>
          <w:p>
            <w:r>
              <w:rPr>
                <w:b/>
              </w:rPr>
              <w:t xml:space="preserve">Action Plan(s)</w:t>
            </w:r>
          </w:p>
        </w:tc>
        <w:tc>
          <w:tcPr>
            <w:tcW w:w="1500" w:type="pct"/>
            <w:vAlign w:val="center"/>
          </w:tcPr>
          <w:p>
            <w:r>
              <w:rPr>
                <w:b/>
              </w:rPr>
              <w:t xml:space="preserve">eGgrant Budget Category (Set Aside grant)</w:t>
            </w:r>
          </w:p>
        </w:tc>
        <w:tc>
          <w:tcPr>
            <w:tcW w:w="500" w:type="pct"/>
            <w:vAlign w:val="center"/>
          </w:tcPr>
          <w:p>
            <w:r>
              <w:rPr>
                <w:b/>
              </w:rPr>
              <w:t xml:space="preserve">ESSA Tier</w:t>
            </w:r>
          </w:p>
        </w:tc>
        <w:tc>
          <w:tcPr>
            <w:tcW w:w="500" w:type="pct"/>
            <w:vAlign w:val="center"/>
          </w:tcPr>
          <w:p>
            <w:r>
              <w:rPr>
                <w:b/>
              </w:rPr>
              <w:t xml:space="preserve">Amount</w:t>
            </w:r>
          </w:p>
        </w:tc>
      </w:tr>
      <w:tr>
        <w:tc>
          <w:tcPr>
            <w:vAlign w:val="center"/>
          </w:tcPr>
          <w:p/>
        </w:tc>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c>
          <w:tcPr>
            <w:vAlign w:val="center"/>
          </w:tcPr>
          <w:p/>
        </w:tc>
      </w:tr>
      <w:tr>
        <w:tc>
          <w:tcPr>
            <w:gridSpan w:val="4"/>
            <w:vAlign w:val="center"/>
          </w:tcPr>
          <w:p>
            <w:r>
              <w:rPr>
                <w:b/>
              </w:rPr>
              <w:t xml:space="preserve">Total Expenditures</w:t>
            </w:r>
          </w:p>
        </w:tc>
        <w:tc>
          <w:tcPr>
            <w:vAlign w:val="center"/>
          </w:tcPr>
          <w:p/>
        </w:tc>
      </w:tr>
    </w:tbl>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bl>
    <w:p/>
    <w:tbl>
      <w:tblPr>
        <w:tblStyle w:val="TableGrid"/>
        <w:tblW w:w="5000" w:type="pct"/>
      </w:tblPr>
      <w:tblGrid>
        <w:gridCol/>
        <w:gridCol/>
        <w:gridCol/>
      </w:tblGrid>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tc>
        <w:tc>
          <w:tcPr>
            <w:vAlign w:val="center"/>
          </w:tcP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tc>
        <w:tc>
          <w:tcPr>
            <w:vAlign w:val="center"/>
          </w:tcPr>
          <w:p/>
        </w:tc>
      </w:tr>
      <w:tr>
        <w:tc>
          <w:tcPr>
            <w:vAlign w:val="center"/>
          </w:tcPr>
          <w:p>
            <w:r>
              <w:rPr>
                <w:b/>
              </w:rPr>
              <w:t xml:space="preserve">Building Principal Signature</w:t>
            </w:r>
          </w:p>
        </w:tc>
        <w:tc>
          <w:tcPr>
            <w:vAlign w:val="center"/>
          </w:tcPr>
          <w:p>
            <w:r>
              <w:rPr>
                <w:b/>
              </w:rPr>
              <w:t xml:space="preserve">Date</w:t>
            </w:r>
          </w:p>
        </w:tc>
      </w:tr>
      <w:tr>
        <w:tc>
          <w:tcPr>
            <w:vAlign w:val="center"/>
          </w:tcPr>
          <w:p/>
        </w:tc>
        <w:tc>
          <w:tcPr>
            <w:vAlign w:val="center"/>
          </w:tcP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21f46ca21f004f2c"/>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s>
</file>

<file path=word/_rels/document.xml.rels>&#65279;<?xml version="1.0" encoding="utf-8"?><Relationships xmlns="http://schemas.openxmlformats.org/package/2006/relationships"><Relationship Type="http://schemas.openxmlformats.org/officeDocument/2006/relationships/footer" Target="/word/footer1.xml" Id="R21f46ca21f004f2c" /><Relationship Type="http://schemas.openxmlformats.org/officeDocument/2006/relationships/styles" Target="/word/styles.xml" Id="R42de41ee14ed4221" /><Relationship Type="http://schemas.openxmlformats.org/officeDocument/2006/relationships/numbering" Target="/word/numbering.xml" Id="Ra0aac48262ae49db" /></Relationships>
</file>